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E8E7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Two</w:t>
      </w:r>
    </w:p>
    <w:p w14:paraId="7F3099EA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Key Actors, Principles, &amp; Sources of Law</w:t>
      </w:r>
    </w:p>
    <w:p w14:paraId="068DA876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 </w:t>
      </w:r>
    </w:p>
    <w:p w14:paraId="0384737D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sz w:val="24"/>
          <w:szCs w:val="24"/>
          <w:u w:val="single"/>
        </w:rPr>
        <w:t>Topics</w:t>
      </w:r>
    </w:p>
    <w:p w14:paraId="0B4F33DE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2.1  Canadian Charter (Background for </w:t>
      </w: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>Suresh v. Canada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) </w:t>
      </w:r>
    </w:p>
    <w:p w14:paraId="78857AA0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2.2  International Legal Personality</w:t>
      </w:r>
    </w:p>
    <w:p w14:paraId="33BE480F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2.3  International Organizations</w:t>
      </w:r>
    </w:p>
    <w:p w14:paraId="25DF2BB6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2.4  International Relations Theories</w:t>
      </w:r>
    </w:p>
    <w:p w14:paraId="7D9CAACC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2.5  Montevideo Convention Principles as Applied</w:t>
      </w:r>
    </w:p>
    <w:p w14:paraId="7E515176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2.6  Non-Governmental Organizations</w:t>
      </w:r>
    </w:p>
    <w:p w14:paraId="10AF17BA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2.7  North Atlantic Treaty Organization</w:t>
      </w:r>
    </w:p>
    <w:p w14:paraId="282DF7CA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2.8  Sources of Law</w:t>
      </w:r>
    </w:p>
    <w:p w14:paraId="0687C339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2.9  The Question of Palestine/The Death of Count Bernadotte</w:t>
      </w:r>
    </w:p>
    <w:p w14:paraId="21591616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2.10  Westphalia History</w:t>
      </w:r>
    </w:p>
    <w:p w14:paraId="71B0FC31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2DC7D877" w14:textId="77777777" w:rsidR="00416896" w:rsidRPr="002112A0" w:rsidRDefault="00416896" w:rsidP="00416896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6C82006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2.1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 xml:space="preserve">Canadian Charter (Background for </w:t>
      </w:r>
      <w:r w:rsidRPr="002112A0">
        <w:rPr>
          <w:rFonts w:asciiTheme="majorHAnsi" w:hAnsiTheme="majorHAnsi" w:cs="Times New Roman"/>
          <w:b/>
          <w:i/>
          <w:iCs/>
          <w:sz w:val="24"/>
          <w:szCs w:val="24"/>
        </w:rPr>
        <w:t>Suresh v. Canada</w:t>
      </w:r>
      <w:r w:rsidRPr="002112A0">
        <w:rPr>
          <w:rFonts w:asciiTheme="majorHAnsi" w:hAnsiTheme="majorHAnsi" w:cs="Times New Roman"/>
          <w:b/>
          <w:sz w:val="24"/>
          <w:szCs w:val="24"/>
        </w:rPr>
        <w:t>)</w:t>
      </w:r>
    </w:p>
    <w:p w14:paraId="26817B5F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066A249" w14:textId="77777777" w:rsidR="00416896" w:rsidRPr="002112A0" w:rsidRDefault="00416896" w:rsidP="0041689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-Canada’s Independence from Great Britain</w:t>
      </w:r>
    </w:p>
    <w:p w14:paraId="0C6C9BE5" w14:textId="77777777" w:rsidR="00416896" w:rsidRPr="002112A0" w:rsidRDefault="00416896" w:rsidP="00416896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Canada's Long, Gradual Road to Independence - HISTORY</w:t>
        </w:r>
      </w:hyperlink>
    </w:p>
    <w:p w14:paraId="3DA55DB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C08C777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-Guide to the Canadian Charter of Rights &amp; Freedoms</w:t>
      </w:r>
    </w:p>
    <w:p w14:paraId="47D8EA7C" w14:textId="77777777" w:rsidR="00416896" w:rsidRPr="002112A0" w:rsidRDefault="00416896" w:rsidP="00416896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8" w:history="1">
        <w:r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https://www.canada.ca/en/canadian-heritage/services/how-rights-protected/guide-canadian-charter-rights-freedoms.html</w:t>
        </w:r>
      </w:hyperlink>
    </w:p>
    <w:p w14:paraId="67A8711C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40825C0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 w:rsidRPr="002112A0">
        <w:rPr>
          <w:rFonts w:asciiTheme="majorHAnsi" w:hAnsiTheme="majorHAnsi" w:cs="Times New Roman"/>
          <w:bCs/>
          <w:sz w:val="24"/>
          <w:szCs w:val="24"/>
        </w:rPr>
        <w:t>-Rights &amp; Freedoms Protected by the Charter</w:t>
      </w:r>
    </w:p>
    <w:p w14:paraId="079D03C8" w14:textId="77777777" w:rsidR="00416896" w:rsidRPr="002112A0" w:rsidRDefault="00416896" w:rsidP="00416896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9" w:history="1">
        <w:r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https://www.justice.gc.ca/eng/csj-sjc/rfc-dlc/ccrf-ccdl/rfcp-cdlp.html</w:t>
        </w:r>
      </w:hyperlink>
    </w:p>
    <w:p w14:paraId="2DA6B8A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14:paraId="70065320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ab/>
      </w:r>
      <w:r w:rsidRPr="002112A0">
        <w:rPr>
          <w:rFonts w:asciiTheme="majorHAnsi" w:hAnsiTheme="majorHAnsi" w:cs="Times New Roman"/>
          <w:bCs/>
          <w:sz w:val="24"/>
          <w:szCs w:val="24"/>
        </w:rPr>
        <w:t>-</w:t>
      </w: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Suresh 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opinion </w:t>
      </w:r>
    </w:p>
    <w:p w14:paraId="3DAFF3E0" w14:textId="77777777" w:rsidR="00416896" w:rsidRPr="002112A0" w:rsidRDefault="00416896" w:rsidP="00416896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10" w:history="1">
        <w:r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https://scc-csc.lexum.com/scc-csc/scc-csc/en/item/1643/index.do</w:t>
        </w:r>
      </w:hyperlink>
    </w:p>
    <w:p w14:paraId="222BBEF4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See paragraph 46 for specific information about Canadian independence.</w:t>
      </w:r>
    </w:p>
    <w:p w14:paraId="034963AC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1816679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C44F126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BE40A56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2.2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International Legal Personality</w:t>
      </w:r>
    </w:p>
    <w:p w14:paraId="466D3C50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7AFB64E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-Article</w:t>
      </w:r>
    </w:p>
    <w:p w14:paraId="5AF1C818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11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The Source of International Legal Personality in the 21st Century (hofstra.edu)</w:t>
        </w:r>
      </w:hyperlink>
    </w:p>
    <w:p w14:paraId="089620EE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027A06A2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</w:rPr>
      </w:pPr>
      <w:r w:rsidRPr="002112A0">
        <w:rPr>
          <w:rFonts w:asciiTheme="majorHAnsi" w:hAnsiTheme="majorHAnsi" w:cs="Times New Roman"/>
          <w:color w:val="7030A0"/>
          <w:sz w:val="24"/>
          <w:szCs w:val="24"/>
        </w:rPr>
        <w:tab/>
        <w:t>-</w:t>
      </w:r>
      <w:r w:rsidRPr="002112A0">
        <w:rPr>
          <w:rFonts w:asciiTheme="majorHAnsi" w:hAnsiTheme="majorHAnsi" w:cs="Times New Roman"/>
          <w:bCs/>
          <w:sz w:val="24"/>
          <w:szCs w:val="24"/>
        </w:rPr>
        <w:t>See also 2.7 below (North Atlantic Treaty Organization &amp; international legal personality)</w:t>
      </w:r>
    </w:p>
    <w:p w14:paraId="1E5D22DC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60F19A1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C571FD0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56C3ECF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2.3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International Organizations</w:t>
      </w:r>
    </w:p>
    <w:p w14:paraId="54B279A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DF17EE3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 w:rsidRPr="002112A0">
        <w:rPr>
          <w:rFonts w:asciiTheme="majorHAnsi" w:hAnsiTheme="majorHAnsi" w:cs="Times New Roman"/>
          <w:b/>
          <w:i/>
          <w:iCs/>
          <w:sz w:val="24"/>
          <w:szCs w:val="24"/>
        </w:rPr>
        <w:softHyphen/>
        <w:t>-</w:t>
      </w:r>
      <w:r w:rsidRPr="002112A0">
        <w:rPr>
          <w:rFonts w:asciiTheme="majorHAnsi" w:hAnsiTheme="majorHAnsi" w:cs="Times New Roman"/>
          <w:sz w:val="24"/>
          <w:szCs w:val="24"/>
        </w:rPr>
        <w:t>IGO and Other Organizations with Standing Invitation to United Nations</w:t>
      </w:r>
    </w:p>
    <w:p w14:paraId="149DC367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</w:rPr>
      </w:pPr>
      <w:hyperlink r:id="rId12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Intergovernmental and Other Organizations | United Nations</w:t>
        </w:r>
      </w:hyperlink>
    </w:p>
    <w:p w14:paraId="035E0057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14:paraId="483FCCBE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29E654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19FF683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2.4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International Relations Theories</w:t>
      </w:r>
    </w:p>
    <w:p w14:paraId="10C0CF64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mallCaps/>
          <w:sz w:val="24"/>
          <w:szCs w:val="24"/>
        </w:rPr>
      </w:pPr>
    </w:p>
    <w:p w14:paraId="4FE0F3F6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>Anthony Clark Arend, Legal Rules and International Society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(Oxford University Press 1999). </w:t>
      </w:r>
    </w:p>
    <w:p w14:paraId="03FC0CE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7876F93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Caroline Fehl, </w:t>
      </w: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>Evaluating the International Criminal Court: A ‘Practice Test’ for Realist and Constructivist Approaches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, 10:3 </w:t>
      </w: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>European J. Int’l. Relations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359 (2004). </w:t>
      </w:r>
    </w:p>
    <w:p w14:paraId="21D0580F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0CF0274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Anne-Marie Slaughter, </w:t>
      </w: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>International Relations, Principal Theories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, in </w:t>
      </w: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>Max Planck Encyclopedia of Public International Law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(Rüdiger Wolfrum ed., Oxford University Press 2011).</w:t>
      </w:r>
    </w:p>
    <w:p w14:paraId="309DEF2A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14:paraId="35ECDBA0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AB259E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72F9F0E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2.5 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Montevideo Convention Principles as Applied </w:t>
      </w:r>
    </w:p>
    <w:p w14:paraId="48F58F09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F7D39E5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Pr="002112A0">
        <w:rPr>
          <w:rFonts w:asciiTheme="majorHAnsi" w:hAnsiTheme="majorHAnsi" w:cs="Times New Roman"/>
          <w:sz w:val="24"/>
          <w:szCs w:val="24"/>
        </w:rPr>
        <w:t>Åland</w:t>
      </w:r>
      <w:proofErr w:type="spellEnd"/>
      <w:r w:rsidRPr="002112A0">
        <w:rPr>
          <w:rFonts w:asciiTheme="majorHAnsi" w:hAnsiTheme="majorHAnsi" w:cs="Times New Roman"/>
          <w:sz w:val="24"/>
          <w:szCs w:val="24"/>
        </w:rPr>
        <w:t xml:space="preserve"> Islands </w:t>
      </w:r>
    </w:p>
    <w:p w14:paraId="5222AFB3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</w:rPr>
      </w:pPr>
      <w:hyperlink r:id="rId13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The </w:t>
        </w:r>
        <w:proofErr w:type="spellStart"/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Åland</w:t>
        </w:r>
        <w:proofErr w:type="spellEnd"/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 Islands Question – A League Success Story (au.dk)</w:t>
        </w:r>
      </w:hyperlink>
    </w:p>
    <w:p w14:paraId="17BB57FF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92B8FAE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-Duchy of </w:t>
      </w:r>
      <w:proofErr w:type="spellStart"/>
      <w:r w:rsidRPr="002112A0">
        <w:rPr>
          <w:rFonts w:asciiTheme="majorHAnsi" w:hAnsiTheme="majorHAnsi" w:cs="Times New Roman"/>
          <w:bCs/>
          <w:sz w:val="24"/>
          <w:szCs w:val="24"/>
        </w:rPr>
        <w:t>Sealand</w:t>
      </w:r>
      <w:proofErr w:type="spellEnd"/>
      <w:r w:rsidRPr="002112A0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6733C8F8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Dylan Taylor-Lehman, </w:t>
      </w:r>
      <w:proofErr w:type="spellStart"/>
      <w:r w:rsidRPr="002112A0">
        <w:rPr>
          <w:rFonts w:asciiTheme="majorHAnsi" w:hAnsiTheme="majorHAnsi" w:cs="Times New Roman"/>
          <w:smallCaps/>
          <w:sz w:val="24"/>
          <w:szCs w:val="24"/>
        </w:rPr>
        <w:t>Sealand</w:t>
      </w:r>
      <w:proofErr w:type="spellEnd"/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, The True Story of the World’s Most Stubborn Micronation and Its Eccentric Royal Family </w:t>
      </w:r>
      <w:r w:rsidRPr="002112A0">
        <w:rPr>
          <w:rFonts w:asciiTheme="majorHAnsi" w:hAnsiTheme="majorHAnsi" w:cs="Times New Roman"/>
          <w:sz w:val="24"/>
          <w:szCs w:val="24"/>
        </w:rPr>
        <w:t>(Diversion Books 2020).</w:t>
      </w:r>
    </w:p>
    <w:p w14:paraId="48B1CC3A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67F4A9C1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0214567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77056AA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2.6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 xml:space="preserve">Non-Governmental Organizations </w:t>
      </w:r>
    </w:p>
    <w:p w14:paraId="7BB96DDA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</w:r>
    </w:p>
    <w:p w14:paraId="13B849F2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-Amnesty International</w:t>
      </w:r>
    </w:p>
    <w:p w14:paraId="1FF9853C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color w:val="7030A0"/>
          <w:sz w:val="24"/>
          <w:szCs w:val="24"/>
        </w:rPr>
      </w:pPr>
      <w:hyperlink r:id="rId14" w:anchor=":~:text=Amnesty%20International%20(Amnesty)%20is%20one,journalists%2C%20diplomats%2C%20and%20academics.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Amnesty International: Founding, Structure, and Lost Vision » </w:t>
        </w:r>
      </w:hyperlink>
    </w:p>
    <w:p w14:paraId="42790ABD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89DDA7D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-Human Rights Watch</w:t>
      </w:r>
    </w:p>
    <w:p w14:paraId="1AD3C17B" w14:textId="77777777" w:rsidR="00416896" w:rsidRPr="002112A0" w:rsidRDefault="00416896" w:rsidP="00416896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5" w:history="1">
        <w:r w:rsidRPr="002112A0">
          <w:rPr>
            <w:rStyle w:val="Hyperlink"/>
            <w:rFonts w:asciiTheme="majorHAnsi" w:hAnsiTheme="majorHAnsi"/>
            <w:sz w:val="24"/>
            <w:szCs w:val="24"/>
          </w:rPr>
          <w:t>Donate to Defend Human Rights | Human Rights Watch (hrw.org)</w:t>
        </w:r>
      </w:hyperlink>
    </w:p>
    <w:p w14:paraId="48B25DE1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DC8648A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-International Committee of the Red Cross</w:t>
      </w:r>
    </w:p>
    <w:p w14:paraId="0BC6003E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hyperlink r:id="rId16" w:history="1">
        <w:r w:rsidRPr="002112A0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International Committee of the Red Cross (icrc.org)</w:t>
        </w:r>
      </w:hyperlink>
    </w:p>
    <w:p w14:paraId="4603F29C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07F2B55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-NGOs in the US</w:t>
      </w:r>
    </w:p>
    <w:p w14:paraId="49AE1B7E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17" w:anchor=":~:text=Approximately%201.5%20million%20NGOs%20operate,development%2C%20and%20many%20other%20issues.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Non-Governmental Organizations (NGOs) in the United States - United States Department of State</w:t>
        </w:r>
      </w:hyperlink>
    </w:p>
    <w:p w14:paraId="376192C8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548CC9D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-NGO Monitor (comprehensive resource page)</w:t>
      </w:r>
    </w:p>
    <w:p w14:paraId="44DE613A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18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Home » </w:t>
        </w:r>
        <w:proofErr w:type="spellStart"/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ngomonitor</w:t>
        </w:r>
        <w:proofErr w:type="spellEnd"/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 (ngo-monitor.org)</w:t>
        </w:r>
      </w:hyperlink>
    </w:p>
    <w:p w14:paraId="2244BEC5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42575718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BB51128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C5FF269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2.7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North Atlantic Treaty Organization  (NATO) &amp; International Legal Personality</w:t>
      </w:r>
    </w:p>
    <w:p w14:paraId="67E39FE7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27A4121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-Law Review Excerpt Re: NATO &amp; International Legal Personality</w:t>
      </w:r>
    </w:p>
    <w:p w14:paraId="47214B28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19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Chapter 5: The International Legal Personality of </w:t>
        </w:r>
        <w:proofErr w:type="spellStart"/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nato</w:t>
        </w:r>
        <w:proofErr w:type="spellEnd"/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 in: The International Responsibility of NATO and its Personnel during Military Operations (brill.com)</w:t>
        </w:r>
      </w:hyperlink>
    </w:p>
    <w:p w14:paraId="634D11E6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EB492A0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-NATO Homepage </w:t>
      </w:r>
    </w:p>
    <w:p w14:paraId="1069D773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0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What is NATO?</w:t>
        </w:r>
      </w:hyperlink>
    </w:p>
    <w:p w14:paraId="477B09A7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62E3252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-Official Treaty Text</w:t>
      </w:r>
    </w:p>
    <w:p w14:paraId="454D47C9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1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NATO-Official text: The North Atlantic Treaty, 04-Apr.-1949</w:t>
        </w:r>
      </w:hyperlink>
    </w:p>
    <w:p w14:paraId="40C7B53F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488119D0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BC817EE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64AD75B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2.8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Sources of Law</w:t>
      </w:r>
    </w:p>
    <w:p w14:paraId="6034AC5A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FC4E0EB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 xml:space="preserve">Maurizio Ragazzi, The Concept of International Obligations </w:t>
      </w:r>
      <w:r w:rsidRPr="002112A0">
        <w:rPr>
          <w:rFonts w:asciiTheme="majorHAnsi" w:hAnsiTheme="majorHAnsi" w:cs="Times New Roman"/>
          <w:bCs/>
          <w:i/>
          <w:iCs/>
          <w:smallCaps/>
          <w:sz w:val="24"/>
          <w:szCs w:val="24"/>
        </w:rPr>
        <w:t xml:space="preserve">Erga Omnes </w:t>
      </w:r>
      <w:r w:rsidRPr="002112A0">
        <w:rPr>
          <w:rFonts w:asciiTheme="majorHAnsi" w:hAnsiTheme="majorHAnsi" w:cs="Times New Roman"/>
          <w:bCs/>
          <w:sz w:val="24"/>
          <w:szCs w:val="24"/>
        </w:rPr>
        <w:t>(Clarendon Press 1997).</w:t>
      </w:r>
    </w:p>
    <w:p w14:paraId="1EF58A9D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CD36A72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5A7873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6FAD664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2.9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The Question of Palestine/Count Bernadotte</w:t>
      </w:r>
    </w:p>
    <w:p w14:paraId="3FFFA7E0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</w:r>
    </w:p>
    <w:p w14:paraId="4DD80548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-Comprehensive Resource Page</w:t>
      </w:r>
    </w:p>
    <w:p w14:paraId="734F6AE1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  <w:u w:val="single"/>
        </w:rPr>
      </w:pPr>
      <w:hyperlink r:id="rId22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Home - Question of Palestine (un.org)</w:t>
        </w:r>
      </w:hyperlink>
    </w:p>
    <w:p w14:paraId="48C41DC4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6B6D4ED" w14:textId="77777777" w:rsidR="00416896" w:rsidRPr="002112A0" w:rsidRDefault="00416896" w:rsidP="00416896">
      <w:pPr>
        <w:spacing w:after="0" w:line="240" w:lineRule="auto"/>
        <w:ind w:firstLine="720"/>
        <w:rPr>
          <w:rFonts w:asciiTheme="majorHAnsi" w:hAnsiTheme="majorHAnsi" w:cs="Times New Roman"/>
          <w:bCs/>
          <w:color w:val="7030A0"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-General Lundstrom Gives Eyewitness Account of Bernadotte’s Death </w:t>
      </w:r>
      <w:hyperlink r:id="rId23" w:history="1">
        <w:r w:rsidRPr="002112A0">
          <w:rPr>
            <w:rStyle w:val="Hyperlink"/>
            <w:rFonts w:asciiTheme="majorHAnsi" w:hAnsiTheme="majorHAnsi" w:cs="Times New Roman"/>
            <w:bCs/>
            <w:color w:val="7030A0"/>
            <w:sz w:val="24"/>
            <w:szCs w:val="24"/>
          </w:rPr>
          <w:t>http://domino.un.org/unispal.nsf/9a798adbf322aff38525617b006d88d7/23e5f866fe7393b585256a680061b348</w:t>
        </w:r>
      </w:hyperlink>
    </w:p>
    <w:p w14:paraId="4F135114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1A42F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-Report Submitted by the Government of Israel to the United Nations (19 October 1948)</w:t>
      </w:r>
    </w:p>
    <w:p w14:paraId="118790EA" w14:textId="77777777" w:rsidR="00416896" w:rsidRPr="002112A0" w:rsidRDefault="00416896" w:rsidP="00416896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4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Mideast situation/Assassination of the UN Mediator - Israel report - Question of Palestine</w:t>
        </w:r>
      </w:hyperlink>
    </w:p>
    <w:p w14:paraId="18CF27AB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E31899C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D79123F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8BDB5EF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2.10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Westphalian History</w:t>
      </w:r>
    </w:p>
    <w:p w14:paraId="40F94A65" w14:textId="77777777" w:rsidR="00416896" w:rsidRPr="002112A0" w:rsidRDefault="00416896" w:rsidP="00416896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36A7E3DA" w14:textId="77777777" w:rsidR="00416896" w:rsidRPr="002112A0" w:rsidRDefault="00416896" w:rsidP="00416896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Cs/>
          <w:sz w:val="24"/>
          <w:szCs w:val="24"/>
        </w:rPr>
        <w:t xml:space="preserve">Stéphane Beaulac, </w:t>
      </w:r>
      <w:r w:rsidRPr="002112A0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 xml:space="preserve">The Westphalian Legal Orthodoxy—Myth or </w:t>
      </w:r>
      <w:proofErr w:type="gramStart"/>
      <w:r w:rsidRPr="002112A0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>Reality?</w:t>
      </w:r>
      <w:r w:rsidRPr="002112A0">
        <w:rPr>
          <w:rFonts w:asciiTheme="majorHAnsi" w:eastAsia="Calibri" w:hAnsiTheme="majorHAnsi" w:cs="Times New Roman"/>
          <w:bCs/>
          <w:sz w:val="24"/>
          <w:szCs w:val="24"/>
        </w:rPr>
        <w:t>,</w:t>
      </w:r>
      <w:proofErr w:type="gramEnd"/>
      <w:r w:rsidRPr="002112A0">
        <w:rPr>
          <w:rFonts w:asciiTheme="majorHAnsi" w:eastAsia="Calibri" w:hAnsiTheme="majorHAnsi" w:cs="Times New Roman"/>
          <w:bCs/>
          <w:sz w:val="24"/>
          <w:szCs w:val="24"/>
        </w:rPr>
        <w:t xml:space="preserve"> 2 </w:t>
      </w:r>
      <w:r w:rsidRPr="002112A0">
        <w:rPr>
          <w:rFonts w:asciiTheme="majorHAnsi" w:eastAsia="Calibri" w:hAnsiTheme="majorHAnsi" w:cs="Times New Roman"/>
          <w:bCs/>
          <w:smallCaps/>
          <w:sz w:val="24"/>
          <w:szCs w:val="24"/>
        </w:rPr>
        <w:t xml:space="preserve">J. </w:t>
      </w:r>
      <w:proofErr w:type="spellStart"/>
      <w:r w:rsidRPr="002112A0">
        <w:rPr>
          <w:rFonts w:asciiTheme="majorHAnsi" w:eastAsia="Calibri" w:hAnsiTheme="majorHAnsi" w:cs="Times New Roman"/>
          <w:bCs/>
          <w:smallCaps/>
          <w:sz w:val="24"/>
          <w:szCs w:val="24"/>
        </w:rPr>
        <w:t>Hsty</w:t>
      </w:r>
      <w:proofErr w:type="spellEnd"/>
      <w:r w:rsidRPr="002112A0">
        <w:rPr>
          <w:rFonts w:asciiTheme="majorHAnsi" w:eastAsia="Calibri" w:hAnsiTheme="majorHAnsi" w:cs="Times New Roman"/>
          <w:bCs/>
          <w:smallCaps/>
          <w:sz w:val="24"/>
          <w:szCs w:val="24"/>
        </w:rPr>
        <w:t>. Int’l. Law 148 (2000).</w:t>
      </w:r>
    </w:p>
    <w:p w14:paraId="61DCEFE5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3EC0BE4" w14:textId="7777777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Myron P. Gutmann,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>The Origins of the Thirty Years’ War</w:t>
      </w:r>
      <w:r w:rsidRPr="002112A0">
        <w:rPr>
          <w:rFonts w:asciiTheme="majorHAnsi" w:hAnsiTheme="majorHAnsi" w:cs="Times New Roman"/>
          <w:sz w:val="24"/>
          <w:szCs w:val="24"/>
        </w:rPr>
        <w:t xml:space="preserve">, 18:4 </w:t>
      </w: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J. Interdisciplinary </w:t>
      </w:r>
      <w:proofErr w:type="spellStart"/>
      <w:r w:rsidRPr="002112A0">
        <w:rPr>
          <w:rFonts w:asciiTheme="majorHAnsi" w:hAnsiTheme="majorHAnsi" w:cs="Times New Roman"/>
          <w:smallCaps/>
          <w:sz w:val="24"/>
          <w:szCs w:val="24"/>
        </w:rPr>
        <w:t>Hsty</w:t>
      </w:r>
      <w:proofErr w:type="spellEnd"/>
      <w:r w:rsidRPr="002112A0">
        <w:rPr>
          <w:rFonts w:asciiTheme="majorHAnsi" w:hAnsiTheme="majorHAnsi" w:cs="Times New Roman"/>
          <w:smallCaps/>
          <w:sz w:val="24"/>
          <w:szCs w:val="24"/>
        </w:rPr>
        <w:t>.</w:t>
      </w:r>
      <w:r w:rsidRPr="002112A0">
        <w:rPr>
          <w:rFonts w:asciiTheme="majorHAnsi" w:hAnsiTheme="majorHAnsi" w:cs="Times New Roman"/>
          <w:sz w:val="24"/>
          <w:szCs w:val="24"/>
        </w:rPr>
        <w:t xml:space="preserve"> 749 (1988).</w:t>
      </w:r>
    </w:p>
    <w:p w14:paraId="419112A7" w14:textId="1C4D9E17" w:rsidR="00416896" w:rsidRPr="002112A0" w:rsidRDefault="00416896" w:rsidP="0041689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416896" w:rsidRPr="002112A0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9F3E" w14:textId="77777777" w:rsidR="004D2512" w:rsidRDefault="004D2512" w:rsidP="00A24EE4">
      <w:pPr>
        <w:spacing w:after="0" w:line="240" w:lineRule="auto"/>
      </w:pPr>
      <w:r>
        <w:separator/>
      </w:r>
    </w:p>
  </w:endnote>
  <w:endnote w:type="continuationSeparator" w:id="0">
    <w:p w14:paraId="11D9028F" w14:textId="77777777" w:rsidR="004D2512" w:rsidRDefault="004D2512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2E80" w14:textId="77777777" w:rsidR="004D2512" w:rsidRDefault="004D2512" w:rsidP="00A24EE4">
      <w:pPr>
        <w:spacing w:after="0" w:line="240" w:lineRule="auto"/>
      </w:pPr>
      <w:r>
        <w:separator/>
      </w:r>
    </w:p>
  </w:footnote>
  <w:footnote w:type="continuationSeparator" w:id="0">
    <w:p w14:paraId="3D25EBBD" w14:textId="77777777" w:rsidR="004D2512" w:rsidRDefault="004D2512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2512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canadian-heritage/services/how-rights-protected/guide-canadian-charter-rights-freedoms.html" TargetMode="External"/><Relationship Id="rId13" Type="http://schemas.openxmlformats.org/officeDocument/2006/relationships/hyperlink" Target="https://projects.au.dk/inventingbureaucracy/blog/show/artikel/the-aaland-islands-question-a-league-success-story/" TargetMode="External"/><Relationship Id="rId18" Type="http://schemas.openxmlformats.org/officeDocument/2006/relationships/hyperlink" Target="https://www.ngo-monitor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ato.int/cps/en/natolive/official_texts_17120.htm" TargetMode="External"/><Relationship Id="rId7" Type="http://schemas.openxmlformats.org/officeDocument/2006/relationships/hyperlink" Target="https://www.history.com/news/canada-independence-from-britain-france-war-of-1812" TargetMode="External"/><Relationship Id="rId12" Type="http://schemas.openxmlformats.org/officeDocument/2006/relationships/hyperlink" Target="https://www.un.org/en/about-us/intergovernmental-and-other-organizations" TargetMode="External"/><Relationship Id="rId17" Type="http://schemas.openxmlformats.org/officeDocument/2006/relationships/hyperlink" Target="https://www.state.gov/non-governmental-organizations-ngos-in-the-united-state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crc.org/en" TargetMode="External"/><Relationship Id="rId20" Type="http://schemas.openxmlformats.org/officeDocument/2006/relationships/hyperlink" Target="https://www.nato.int/nato-welcome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lycommons.law.hofstra.edu/cgi/viewcontent.cgi?referer=&amp;httpsredir=1&amp;article=1564&amp;context=faculty_scholarship" TargetMode="External"/><Relationship Id="rId24" Type="http://schemas.openxmlformats.org/officeDocument/2006/relationships/hyperlink" Target="https://www.un.org/unispal/document/auto-insert-17852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nate.hrw.org/page/110679/donate/1?ea.tracking.id=EA2022PEgl3wbpspt&amp;utm_channel=ppc&amp;utm_source=appeal&amp;utm_campaign=aug&amp;utm_creative=1&amp;utm_content=source---veradata____keyword---human%20rights%20watch___matchtype---b___placement---___device---c___network---g___targetid---kwd-11588031___ad_position---___creative---615738547434___geo---9016852&amp;gclid=CjwKCAjwx7GYBhB7EiwA0d8oe15pZz5v_fE0sCmje55L_-zuFkMCLnjz3dLv4kICmewzFYW8tgHV3BoCVAMQAvD_BwE" TargetMode="External"/><Relationship Id="rId23" Type="http://schemas.openxmlformats.org/officeDocument/2006/relationships/hyperlink" Target="http://domino.un.org/unispal.nsf/9a798adbf322aff38525617b006d88d7/23e5f866fe7393b585256a680061b348" TargetMode="External"/><Relationship Id="rId10" Type="http://schemas.openxmlformats.org/officeDocument/2006/relationships/hyperlink" Target="https://scc-csc.lexum.com/scc-csc/scc-csc/en/item/1643/index.do" TargetMode="External"/><Relationship Id="rId19" Type="http://schemas.openxmlformats.org/officeDocument/2006/relationships/hyperlink" Target="https://brill.com/view/book/9789004354647/B9789004354647_005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ice.gc.ca/eng/csj-sjc/rfc-dlc/ccrf-ccdl/rfcp-cdlp.html" TargetMode="External"/><Relationship Id="rId14" Type="http://schemas.openxmlformats.org/officeDocument/2006/relationships/hyperlink" Target="https://www.ngo-monitor.org/reports/23/" TargetMode="External"/><Relationship Id="rId22" Type="http://schemas.openxmlformats.org/officeDocument/2006/relationships/hyperlink" Target="https://www.un.org/unispa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2</cp:revision>
  <dcterms:created xsi:type="dcterms:W3CDTF">2023-08-03T21:42:00Z</dcterms:created>
  <dcterms:modified xsi:type="dcterms:W3CDTF">2023-08-03T21:42:00Z</dcterms:modified>
</cp:coreProperties>
</file>