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306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Four</w:t>
      </w:r>
    </w:p>
    <w:p w14:paraId="4747CF73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Customary Law</w:t>
      </w:r>
    </w:p>
    <w:p w14:paraId="28EE598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5AEE49D7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</w:p>
    <w:p w14:paraId="0293B239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4.1  Books &amp; Articles Related to Customary International Law</w:t>
      </w:r>
    </w:p>
    <w:p w14:paraId="7728E482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4.2  Articulation &amp; Act Theory</w:t>
      </w:r>
    </w:p>
    <w:p w14:paraId="76D34B15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4.3  Claim &amp; Response Theory</w:t>
      </w:r>
    </w:p>
    <w:p w14:paraId="22F45F24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4.4  Identification of Customary International Law (Work of the International Law Commission)</w:t>
      </w:r>
    </w:p>
    <w:p w14:paraId="13F29AF5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4.5  International Joint Commission (IJC) (Canada/U.S.)</w:t>
      </w:r>
    </w:p>
    <w:p w14:paraId="5D2F694A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4.6  Juvenile Death Penalty</w:t>
      </w:r>
    </w:p>
    <w:p w14:paraId="7EE7363D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4.7  No-Harm Rule</w:t>
      </w:r>
    </w:p>
    <w:p w14:paraId="0718B3C1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4.8  Rio Declaration</w:t>
      </w:r>
    </w:p>
    <w:p w14:paraId="59B4B4AD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4.9  Special Custom</w:t>
      </w:r>
    </w:p>
    <w:p w14:paraId="04842838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4.10  Stockholm Declaration</w:t>
      </w:r>
    </w:p>
    <w:p w14:paraId="5D0797E0" w14:textId="77777777" w:rsidR="008134F1" w:rsidRPr="002112A0" w:rsidRDefault="008134F1" w:rsidP="008134F1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075A5AAC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30553A59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50AC3535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4.1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Books &amp; Articles Related to Customary International Law</w:t>
      </w:r>
    </w:p>
    <w:p w14:paraId="79821A07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0F2D6E57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 xml:space="preserve">Anthony A. D’Amato, Concept of Custom in International Law 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>(Cornell University Press 1971).</w:t>
      </w:r>
    </w:p>
    <w:p w14:paraId="5CEEB361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mallCaps/>
          <w:sz w:val="24"/>
          <w:szCs w:val="24"/>
        </w:rPr>
      </w:pPr>
    </w:p>
    <w:p w14:paraId="4C647DC8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Custom’s Future: International Law in a Changing World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(Curtis A. Bradley ed., Cambridge University Press 2016).</w:t>
      </w:r>
    </w:p>
    <w:p w14:paraId="463A50E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463F63D2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Michael P. Scharf, </w:t>
      </w:r>
      <w:r w:rsidRPr="002112A0">
        <w:rPr>
          <w:rFonts w:asciiTheme="majorHAnsi" w:eastAsia="Calibri" w:hAnsiTheme="majorHAnsi" w:cs="Times New Roman"/>
          <w:i/>
          <w:sz w:val="24"/>
          <w:szCs w:val="24"/>
        </w:rPr>
        <w:t>Accelerated Formation of Customary International Law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, 20 </w:t>
      </w: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ILSA J. Int’l. &amp; Comp. L.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305 (2013), available at </w:t>
      </w:r>
      <w:hyperlink r:id="rId7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Accelerated Formation of Customary International Law 20 ILSA Journal of International and Comparative Law 2013-2014 (heinonline.org)</w:t>
        </w:r>
      </w:hyperlink>
      <w:r w:rsidRPr="002112A0">
        <w:rPr>
          <w:rFonts w:asciiTheme="majorHAnsi" w:eastAsia="Calibri" w:hAnsiTheme="majorHAnsi" w:cs="Times New Roman"/>
          <w:iCs/>
          <w:sz w:val="24"/>
          <w:szCs w:val="24"/>
        </w:rPr>
        <w:t>.</w:t>
      </w:r>
    </w:p>
    <w:p w14:paraId="08E55352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60BA3712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Michael P. Scharf, Customary International Law in Times of Fundamental Change: Recognizing Grotian Moments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(Cambridge University Press 2013).</w:t>
      </w:r>
    </w:p>
    <w:p w14:paraId="62DF95EA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36870CD2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The “Custom” chapters in any of the general international law hornbooks identified as additional resources for Chapter One. </w:t>
      </w:r>
    </w:p>
    <w:p w14:paraId="7603B3D2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07166FD6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02CD11A1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029F966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4.2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Articulation &amp; Act Theory</w:t>
      </w:r>
    </w:p>
    <w:p w14:paraId="35518278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306F9DB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 xml:space="preserve">D’Amato, </w:t>
      </w:r>
      <w:proofErr w:type="gramStart"/>
      <w:r w:rsidRPr="002112A0">
        <w:rPr>
          <w:rFonts w:asciiTheme="majorHAnsi" w:eastAsia="Calibri" w:hAnsiTheme="majorHAnsi" w:cs="Times New Roman"/>
          <w:i/>
          <w:sz w:val="24"/>
          <w:szCs w:val="24"/>
        </w:rPr>
        <w:t>supra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Section</w:t>
      </w:r>
      <w:proofErr w:type="gramEnd"/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4.1.</w:t>
      </w:r>
    </w:p>
    <w:p w14:paraId="0DAC0C3F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C5E7D85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7002065E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8BB470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4.3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Claim &amp; Response Theory</w:t>
      </w:r>
    </w:p>
    <w:p w14:paraId="63A17DC9" w14:textId="77777777" w:rsidR="008134F1" w:rsidRPr="002112A0" w:rsidRDefault="008134F1" w:rsidP="008134F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45636D79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Myers McDougal, Editorial Comment: </w:t>
      </w:r>
      <w:r w:rsidRPr="002112A0">
        <w:rPr>
          <w:rFonts w:asciiTheme="majorHAnsi" w:eastAsia="Calibri" w:hAnsiTheme="majorHAnsi" w:cs="Times New Roman"/>
          <w:i/>
          <w:iCs/>
          <w:sz w:val="24"/>
          <w:szCs w:val="24"/>
        </w:rPr>
        <w:t>The Hydrogen Bomb Tests and the International Law of the Sea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, 49 </w:t>
      </w: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Am. J. Int’l. L.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356 (1955), available at </w:t>
      </w:r>
      <w:hyperlink r:id="rId8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The Hydrogen Bomb Tests and the International Law of the Sea (yale.edu)</w:t>
        </w:r>
      </w:hyperlink>
      <w:r w:rsidRPr="002112A0">
        <w:rPr>
          <w:rFonts w:asciiTheme="majorHAnsi" w:eastAsia="Calibri" w:hAnsiTheme="majorHAnsi" w:cs="Times New Roman"/>
          <w:iCs/>
          <w:sz w:val="24"/>
          <w:szCs w:val="24"/>
        </w:rPr>
        <w:t>.</w:t>
      </w:r>
    </w:p>
    <w:p w14:paraId="126B928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43E1EBA9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Professor McDougal’s theory also is described in a modern context in James Green, </w:t>
      </w:r>
      <w:r w:rsidRPr="002112A0">
        <w:rPr>
          <w:rFonts w:asciiTheme="majorHAnsi" w:eastAsia="Calibri" w:hAnsiTheme="majorHAnsi" w:cs="Times New Roman"/>
          <w:i/>
          <w:sz w:val="24"/>
          <w:szCs w:val="24"/>
        </w:rPr>
        <w:t xml:space="preserve">The Rise of </w:t>
      </w:r>
      <w:proofErr w:type="spellStart"/>
      <w:r w:rsidRPr="002112A0">
        <w:rPr>
          <w:rFonts w:asciiTheme="majorHAnsi" w:eastAsia="Calibri" w:hAnsiTheme="majorHAnsi" w:cs="Times New Roman"/>
          <w:i/>
          <w:sz w:val="24"/>
          <w:szCs w:val="24"/>
        </w:rPr>
        <w:t>Twiplomacy</w:t>
      </w:r>
      <w:proofErr w:type="spellEnd"/>
      <w:r w:rsidRPr="002112A0">
        <w:rPr>
          <w:rFonts w:asciiTheme="majorHAnsi" w:eastAsia="Calibri" w:hAnsiTheme="majorHAnsi" w:cs="Times New Roman"/>
          <w:i/>
          <w:sz w:val="24"/>
          <w:szCs w:val="24"/>
        </w:rPr>
        <w:t xml:space="preserve"> and the Making of Customary International Law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, 21:1 </w:t>
      </w:r>
      <w:r w:rsidRPr="002112A0">
        <w:rPr>
          <w:rFonts w:asciiTheme="majorHAnsi" w:eastAsia="Calibri" w:hAnsiTheme="majorHAnsi" w:cs="Times New Roman"/>
          <w:iCs/>
          <w:smallCaps/>
          <w:sz w:val="24"/>
          <w:szCs w:val="24"/>
        </w:rPr>
        <w:t>Chinese J. Int’l. L.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 xml:space="preserve"> 1 (2022), available at </w:t>
      </w:r>
      <w:hyperlink r:id="rId9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 xml:space="preserve">Rise of </w:t>
        </w:r>
        <w:proofErr w:type="spellStart"/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Twiplomacy</w:t>
        </w:r>
        <w:proofErr w:type="spellEnd"/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 xml:space="preserve"> and the Making of Customary International Law on Social Media | Chinese Journal of International Law | Oxford Academic (oup.com)</w:t>
        </w:r>
      </w:hyperlink>
      <w:r w:rsidRPr="002112A0">
        <w:rPr>
          <w:rFonts w:asciiTheme="majorHAnsi" w:eastAsia="Calibri" w:hAnsiTheme="majorHAnsi" w:cs="Times New Roman"/>
          <w:iCs/>
          <w:sz w:val="24"/>
          <w:szCs w:val="24"/>
        </w:rPr>
        <w:t>.</w:t>
      </w:r>
    </w:p>
    <w:p w14:paraId="4D1A9453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0FB91D81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4BADA02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5EE6AEAB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4.4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Identification of Customary International Law (Work of the International Law Commission)</w:t>
      </w:r>
    </w:p>
    <w:p w14:paraId="52C7CB88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55D81272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>-Comprehensive Webpage Regarding the International Law Commission’s Work</w:t>
      </w:r>
    </w:p>
    <w:p w14:paraId="5D488AC9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hyperlink r:id="rId10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Identification of customary international law — Analytical Guide to the Work of the International Law Commission — International Law Commission (un.org)</w:t>
        </w:r>
      </w:hyperlink>
    </w:p>
    <w:p w14:paraId="43012606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1E1C8854" w14:textId="77777777" w:rsidR="008134F1" w:rsidRPr="002112A0" w:rsidRDefault="008134F1" w:rsidP="008134F1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>-Draft Conclusions on Identification of Customary International Law, with Commentaries (2018)</w:t>
      </w:r>
    </w:p>
    <w:p w14:paraId="47A6B151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hyperlink r:id="rId11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Draft conclusions on identification of customary international law, with commentaries, 2018 (un.org)</w:t>
        </w:r>
      </w:hyperlink>
      <w:r w:rsidRPr="002112A0">
        <w:rPr>
          <w:rFonts w:asciiTheme="majorHAnsi" w:eastAsia="Calibri" w:hAnsiTheme="majorHAnsi" w:cs="Times New Roman"/>
          <w:iCs/>
          <w:sz w:val="24"/>
          <w:szCs w:val="24"/>
        </w:rPr>
        <w:t>.</w:t>
      </w:r>
      <w:r w:rsidRPr="002112A0">
        <w:rPr>
          <w:rFonts w:asciiTheme="majorHAnsi" w:eastAsia="Calibri" w:hAnsiTheme="majorHAnsi" w:cs="Times New Roman"/>
          <w:iCs/>
          <w:sz w:val="24"/>
          <w:szCs w:val="24"/>
        </w:rPr>
        <w:tab/>
      </w:r>
    </w:p>
    <w:p w14:paraId="60ED501C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0B271A4B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762853BC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04213EBF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4.5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International Joint Commission (IJC) (Canada/U.S.)</w:t>
      </w:r>
    </w:p>
    <w:p w14:paraId="0A70EB26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28F9C867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ab/>
        <w:t>-International Joint Commission Homepage</w:t>
      </w:r>
    </w:p>
    <w:p w14:paraId="1189E8B8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hyperlink r:id="rId12" w:history="1">
        <w:r w:rsidRPr="002112A0">
          <w:rPr>
            <w:rStyle w:val="Hyperlink"/>
            <w:rFonts w:asciiTheme="majorHAnsi" w:eastAsia="Calibri" w:hAnsiTheme="majorHAnsi" w:cs="Times New Roman"/>
            <w:iCs/>
            <w:sz w:val="24"/>
            <w:szCs w:val="24"/>
          </w:rPr>
          <w:t>History of the IJC | International Joint Commission</w:t>
        </w:r>
      </w:hyperlink>
    </w:p>
    <w:p w14:paraId="72B19164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21238C29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6BC4CAD9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</w:p>
    <w:p w14:paraId="77A6CB62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>4.6</w:t>
      </w:r>
      <w:r w:rsidRPr="002112A0">
        <w:rPr>
          <w:rFonts w:asciiTheme="majorHAnsi" w:eastAsia="Calibri" w:hAnsiTheme="majorHAnsi" w:cs="Times New Roman"/>
          <w:b/>
          <w:bCs/>
          <w:iCs/>
          <w:sz w:val="24"/>
          <w:szCs w:val="24"/>
        </w:rPr>
        <w:tab/>
        <w:t>Juvenile Death Penalty</w:t>
      </w:r>
    </w:p>
    <w:p w14:paraId="54D565D0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</w:p>
    <w:p w14:paraId="19AFB61B" w14:textId="77777777" w:rsidR="008134F1" w:rsidRPr="002112A0" w:rsidRDefault="008134F1" w:rsidP="008134F1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iCs/>
          <w:sz w:val="24"/>
          <w:szCs w:val="24"/>
        </w:rPr>
      </w:pPr>
      <w:r w:rsidRPr="002112A0">
        <w:rPr>
          <w:rFonts w:asciiTheme="majorHAnsi" w:eastAsia="Calibri" w:hAnsiTheme="majorHAnsi" w:cs="Times New Roman"/>
          <w:iCs/>
          <w:sz w:val="24"/>
          <w:szCs w:val="24"/>
        </w:rPr>
        <w:t>-U.S. Supreme Court opinion declaring the juvenile death penalty unconstitutional</w:t>
      </w:r>
    </w:p>
    <w:p w14:paraId="04E9DF9C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i/>
          <w:sz w:val="24"/>
          <w:szCs w:val="24"/>
        </w:rPr>
        <w:t xml:space="preserve">Roper v. Simmons, </w:t>
      </w:r>
      <w:r w:rsidRPr="002112A0">
        <w:rPr>
          <w:rFonts w:asciiTheme="majorHAnsi" w:eastAsia="Calibri" w:hAnsiTheme="majorHAnsi" w:cs="Times New Roman"/>
          <w:sz w:val="24"/>
          <w:szCs w:val="24"/>
        </w:rPr>
        <w:t>543 U.S. 551</w:t>
      </w:r>
      <w:r w:rsidRPr="002112A0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2112A0">
        <w:rPr>
          <w:rFonts w:asciiTheme="majorHAnsi" w:eastAsia="Calibri" w:hAnsiTheme="majorHAnsi" w:cs="Times New Roman"/>
          <w:sz w:val="24"/>
          <w:szCs w:val="24"/>
        </w:rPr>
        <w:t xml:space="preserve">(2005), available at </w:t>
      </w:r>
      <w:hyperlink r:id="rId13" w:history="1">
        <w:r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Roper v. Simmons | Oyez</w:t>
        </w:r>
      </w:hyperlink>
      <w:r w:rsidRPr="002112A0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1B34272F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AD002C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9084C4F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E646ABC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4.7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No-Harm Rule</w:t>
      </w:r>
    </w:p>
    <w:p w14:paraId="5D5F87AF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4E5392A" w14:textId="77777777" w:rsidR="008134F1" w:rsidRPr="002112A0" w:rsidRDefault="008134F1" w:rsidP="008134F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-2001 Draft Articles</w:t>
      </w:r>
    </w:p>
    <w:p w14:paraId="58CECC02" w14:textId="77777777" w:rsidR="008134F1" w:rsidRPr="002112A0" w:rsidRDefault="008134F1" w:rsidP="008134F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14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Draft articles on Prevention of Transboundary Harm from Hazardous Activities, with commentaries – 2001</w:t>
        </w:r>
      </w:hyperlink>
    </w:p>
    <w:p w14:paraId="10755B12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1337C10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2F2B1FF8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247642B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>4.8</w:t>
      </w: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Rio Conference</w:t>
      </w:r>
    </w:p>
    <w:p w14:paraId="67EB233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B3C3CC" w14:textId="77777777" w:rsidR="008134F1" w:rsidRPr="002112A0" w:rsidRDefault="008134F1" w:rsidP="008134F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-Rio Declaration Text</w:t>
      </w:r>
    </w:p>
    <w:p w14:paraId="056B492C" w14:textId="77777777" w:rsidR="008134F1" w:rsidRPr="002112A0" w:rsidRDefault="008134F1" w:rsidP="008134F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hyperlink r:id="rId15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United Nations Conference on Environment and Development, Rio de Janeiro, Brazil, 3-14 June 1992 | United Nations</w:t>
        </w:r>
      </w:hyperlink>
    </w:p>
    <w:p w14:paraId="7FE2CB36" w14:textId="77777777" w:rsidR="008134F1" w:rsidRPr="002112A0" w:rsidRDefault="008134F1" w:rsidP="008134F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3A9AD998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619A632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7ADB8FB5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>4.9</w:t>
      </w: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Special Custom</w:t>
      </w:r>
    </w:p>
    <w:p w14:paraId="54251534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2DAB4EDF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 xml:space="preserve">Anthony D’Amato, </w:t>
      </w:r>
      <w:r w:rsidRPr="002112A0">
        <w:rPr>
          <w:rFonts w:asciiTheme="majorHAnsi" w:eastAsia="Calibri" w:hAnsiTheme="majorHAnsi" w:cs="Times New Roman"/>
          <w:i/>
          <w:iCs/>
          <w:sz w:val="24"/>
          <w:szCs w:val="24"/>
        </w:rPr>
        <w:t xml:space="preserve">The Concept of Special Custom </w:t>
      </w:r>
      <w:r w:rsidRPr="002112A0">
        <w:rPr>
          <w:rFonts w:asciiTheme="majorHAnsi" w:eastAsia="Calibri" w:hAnsiTheme="majorHAnsi" w:cs="Times New Roman"/>
          <w:sz w:val="24"/>
          <w:szCs w:val="24"/>
        </w:rPr>
        <w:t xml:space="preserve">(2010), Northwestern University School of Law Working Papers Series, available at </w:t>
      </w:r>
      <w:hyperlink r:id="rId16" w:history="1">
        <w:r w:rsidRPr="002112A0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The Concept of Special Custom in International Law (northwestern.edu)</w:t>
        </w:r>
      </w:hyperlink>
      <w:r w:rsidRPr="002112A0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1FFD98D4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5EDCD25B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587EE8FD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17BD1C63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>4.10</w:t>
      </w:r>
      <w:r w:rsidRPr="002112A0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Stockholm Conference</w:t>
      </w:r>
    </w:p>
    <w:p w14:paraId="4CF6B9B6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03F5A5A" w14:textId="77777777" w:rsidR="008134F1" w:rsidRPr="002112A0" w:rsidRDefault="008134F1" w:rsidP="008134F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-Stockholm Declaration Text</w:t>
      </w:r>
    </w:p>
    <w:p w14:paraId="097A035E" w14:textId="77777777" w:rsidR="008134F1" w:rsidRPr="002112A0" w:rsidRDefault="008134F1" w:rsidP="008134F1">
      <w:pPr>
        <w:spacing w:after="0" w:line="240" w:lineRule="auto"/>
        <w:jc w:val="both"/>
        <w:rPr>
          <w:rFonts w:asciiTheme="majorHAnsi" w:hAnsiTheme="majorHAnsi" w:cs="Times New Roman"/>
          <w:color w:val="7030A0"/>
          <w:sz w:val="24"/>
          <w:szCs w:val="24"/>
        </w:rPr>
      </w:pPr>
      <w:hyperlink r:id="rId17" w:history="1">
        <w:r w:rsidRPr="002112A0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United Nations Conference on the Environment, Stockholm 1972 | United Nations</w:t>
        </w:r>
      </w:hyperlink>
    </w:p>
    <w:p w14:paraId="28DFEA5E" w14:textId="77777777" w:rsidR="008134F1" w:rsidRPr="002112A0" w:rsidRDefault="008134F1" w:rsidP="008134F1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312EDAFC" w14:textId="06743866" w:rsidR="008134F1" w:rsidRPr="002112A0" w:rsidRDefault="008134F1" w:rsidP="008134F1">
      <w:pPr>
        <w:rPr>
          <w:rFonts w:asciiTheme="majorHAnsi" w:eastAsiaTheme="minorEastAsia" w:hAnsiTheme="majorHAnsi"/>
          <w:b/>
          <w:smallCaps/>
          <w:sz w:val="24"/>
          <w:szCs w:val="24"/>
        </w:rPr>
      </w:pPr>
    </w:p>
    <w:sectPr w:rsidR="008134F1" w:rsidRPr="002112A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96D7" w14:textId="77777777" w:rsidR="00BB0014" w:rsidRDefault="00BB0014" w:rsidP="00A24EE4">
      <w:pPr>
        <w:spacing w:after="0" w:line="240" w:lineRule="auto"/>
      </w:pPr>
      <w:r>
        <w:separator/>
      </w:r>
    </w:p>
  </w:endnote>
  <w:endnote w:type="continuationSeparator" w:id="0">
    <w:p w14:paraId="57F28A15" w14:textId="77777777" w:rsidR="00BB0014" w:rsidRDefault="00BB0014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4D60" w14:textId="77777777" w:rsidR="00BB0014" w:rsidRDefault="00BB0014" w:rsidP="00A24EE4">
      <w:pPr>
        <w:spacing w:after="0" w:line="240" w:lineRule="auto"/>
      </w:pPr>
      <w:r>
        <w:separator/>
      </w:r>
    </w:p>
  </w:footnote>
  <w:footnote w:type="continuationSeparator" w:id="0">
    <w:p w14:paraId="733C00C7" w14:textId="77777777" w:rsidR="00BB0014" w:rsidRDefault="00BB0014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134F1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A1362"/>
    <w:rsid w:val="00AA3662"/>
    <w:rsid w:val="00AA703B"/>
    <w:rsid w:val="00AB474A"/>
    <w:rsid w:val="00AC6797"/>
    <w:rsid w:val="00AE7E51"/>
    <w:rsid w:val="00AF6DE0"/>
    <w:rsid w:val="00B05D09"/>
    <w:rsid w:val="00B63CE3"/>
    <w:rsid w:val="00B65D78"/>
    <w:rsid w:val="00B66B91"/>
    <w:rsid w:val="00B822B1"/>
    <w:rsid w:val="00B97F97"/>
    <w:rsid w:val="00BA1830"/>
    <w:rsid w:val="00BB0014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yls.law.yale.edu/bitstream/handle/20.500.13051/1786/Hydrogen_Bomb_Tests_and_the_International_Law_of_the_Sea__The.pdf?sequence=2" TargetMode="External"/><Relationship Id="rId13" Type="http://schemas.openxmlformats.org/officeDocument/2006/relationships/hyperlink" Target="https://www.oyez.org/cases/2004/03-63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inonline.org/HOL/LandingPage?handle=hein.journals/ilsaic20&amp;div=18&amp;id=&amp;page=" TargetMode="External"/><Relationship Id="rId12" Type="http://schemas.openxmlformats.org/officeDocument/2006/relationships/hyperlink" Target="https://www.ijc.org/en/who/history" TargetMode="External"/><Relationship Id="rId17" Type="http://schemas.openxmlformats.org/officeDocument/2006/relationships/hyperlink" Target="https://www.un.org/en/conferences/environment/stockholm19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lycommons.law.northwestern.edu/cgi/viewcontent.cgi?article=1115&amp;context=facultyworkingpape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.un.org/ilc/texts/instruments/english/commentaries/1_13_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.org/en/conferences/environment/rio1992" TargetMode="External"/><Relationship Id="rId10" Type="http://schemas.openxmlformats.org/officeDocument/2006/relationships/hyperlink" Target="https://legal.un.org/ilc/guide/1_13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chinesejil/article/21/1/1/6548215" TargetMode="External"/><Relationship Id="rId14" Type="http://schemas.openxmlformats.org/officeDocument/2006/relationships/hyperlink" Target="https://legal.un.org/ilc/texts/instruments/english/commentaries/9_7_2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2</cp:revision>
  <dcterms:created xsi:type="dcterms:W3CDTF">2023-08-03T21:43:00Z</dcterms:created>
  <dcterms:modified xsi:type="dcterms:W3CDTF">2023-08-03T21:43:00Z</dcterms:modified>
</cp:coreProperties>
</file>