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3D47" w14:textId="77777777" w:rsidR="00AE19AE" w:rsidRPr="002112A0" w:rsidRDefault="00AE19AE" w:rsidP="00AE19AE">
      <w:pPr>
        <w:spacing w:after="0" w:line="240" w:lineRule="auto"/>
        <w:jc w:val="center"/>
        <w:rPr>
          <w:rFonts w:asciiTheme="majorHAnsi" w:eastAsiaTheme="minorEastAsia" w:hAnsiTheme="majorHAnsi"/>
          <w:b/>
          <w:smallCaps/>
          <w:sz w:val="24"/>
          <w:szCs w:val="24"/>
        </w:rPr>
      </w:pPr>
      <w:r w:rsidRPr="002112A0">
        <w:rPr>
          <w:rFonts w:asciiTheme="majorHAnsi" w:eastAsiaTheme="minorEastAsia" w:hAnsiTheme="majorHAnsi"/>
          <w:b/>
          <w:smallCaps/>
          <w:sz w:val="24"/>
          <w:szCs w:val="24"/>
        </w:rPr>
        <w:t>Chapter Ten</w:t>
      </w:r>
    </w:p>
    <w:p w14:paraId="6878D263" w14:textId="77777777" w:rsidR="00AE19AE" w:rsidRPr="002112A0" w:rsidRDefault="00AE19AE" w:rsidP="00AE19AE">
      <w:pPr>
        <w:spacing w:after="0" w:line="240" w:lineRule="auto"/>
        <w:jc w:val="center"/>
        <w:rPr>
          <w:rFonts w:asciiTheme="majorHAnsi" w:eastAsiaTheme="minorEastAsia" w:hAnsiTheme="majorHAnsi"/>
          <w:b/>
          <w:smallCaps/>
          <w:sz w:val="24"/>
          <w:szCs w:val="24"/>
        </w:rPr>
      </w:pPr>
      <w:r w:rsidRPr="002112A0">
        <w:rPr>
          <w:rFonts w:asciiTheme="majorHAnsi" w:eastAsiaTheme="minorEastAsia" w:hAnsiTheme="majorHAnsi"/>
          <w:b/>
          <w:smallCaps/>
          <w:sz w:val="24"/>
          <w:szCs w:val="24"/>
        </w:rPr>
        <w:t>International Human Rights Regimes</w:t>
      </w:r>
    </w:p>
    <w:p w14:paraId="7E2C1B12" w14:textId="77777777" w:rsidR="00AE19AE" w:rsidRPr="002112A0" w:rsidRDefault="00AE19AE" w:rsidP="00AE19AE">
      <w:pPr>
        <w:spacing w:after="0" w:line="240" w:lineRule="auto"/>
        <w:jc w:val="center"/>
        <w:rPr>
          <w:rFonts w:asciiTheme="majorHAnsi" w:eastAsiaTheme="minorEastAsia" w:hAnsiTheme="majorHAnsi"/>
          <w:b/>
          <w:smallCaps/>
          <w:sz w:val="24"/>
          <w:szCs w:val="24"/>
        </w:rPr>
      </w:pPr>
    </w:p>
    <w:p w14:paraId="7D176C15" w14:textId="77777777" w:rsidR="00AE19AE" w:rsidRPr="002112A0" w:rsidRDefault="00AE19AE" w:rsidP="00AE19AE">
      <w:pPr>
        <w:spacing w:after="0" w:line="240" w:lineRule="auto"/>
        <w:jc w:val="center"/>
        <w:rPr>
          <w:rFonts w:asciiTheme="majorHAnsi" w:eastAsiaTheme="minorEastAsia" w:hAnsiTheme="majorHAnsi"/>
          <w:b/>
          <w:sz w:val="24"/>
          <w:szCs w:val="24"/>
          <w:u w:val="single"/>
        </w:rPr>
      </w:pPr>
      <w:r w:rsidRPr="002112A0">
        <w:rPr>
          <w:rFonts w:asciiTheme="majorHAnsi" w:eastAsiaTheme="minorEastAsia" w:hAnsiTheme="majorHAnsi"/>
          <w:b/>
          <w:sz w:val="24"/>
          <w:szCs w:val="24"/>
          <w:u w:val="single"/>
        </w:rPr>
        <w:t>Topics</w:t>
      </w:r>
    </w:p>
    <w:p w14:paraId="069A6D39" w14:textId="77777777" w:rsidR="00AE19AE" w:rsidRPr="002112A0" w:rsidRDefault="00AE19AE" w:rsidP="00AE19AE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10.1  Global System--United Nations</w:t>
      </w:r>
    </w:p>
    <w:p w14:paraId="6D5CE677" w14:textId="77777777" w:rsidR="00AE19AE" w:rsidRPr="002112A0" w:rsidRDefault="00AE19AE" w:rsidP="00AE19AE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10.2  Regional Systems—Africa</w:t>
      </w:r>
    </w:p>
    <w:p w14:paraId="20025D5E" w14:textId="77777777" w:rsidR="00AE19AE" w:rsidRPr="002112A0" w:rsidRDefault="00AE19AE" w:rsidP="00AE19AE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10.3  Regional Systems—Asia</w:t>
      </w:r>
    </w:p>
    <w:p w14:paraId="15C495A0" w14:textId="77777777" w:rsidR="00AE19AE" w:rsidRPr="002112A0" w:rsidRDefault="00AE19AE" w:rsidP="00AE19AE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10.4  Regional Systems—Europe</w:t>
      </w:r>
    </w:p>
    <w:p w14:paraId="31ACD0A0" w14:textId="77777777" w:rsidR="00AE19AE" w:rsidRPr="002112A0" w:rsidRDefault="00AE19AE" w:rsidP="00AE19AE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10.5  Regional Systems—Islamic States</w:t>
      </w:r>
    </w:p>
    <w:p w14:paraId="4DCC5820" w14:textId="77777777" w:rsidR="00AE19AE" w:rsidRPr="002112A0" w:rsidRDefault="00AE19AE" w:rsidP="00AE19AE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10.6  Regional Systems—The Americas</w:t>
      </w:r>
    </w:p>
    <w:p w14:paraId="335DA0D6" w14:textId="77777777" w:rsidR="00AE19AE" w:rsidRPr="002112A0" w:rsidRDefault="00AE19AE" w:rsidP="00AE19AE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10.7  Secession/External Self-Determination</w:t>
      </w:r>
      <w:r w:rsidRPr="002112A0">
        <w:rPr>
          <w:rFonts w:asciiTheme="majorHAnsi" w:eastAsiaTheme="minorEastAsia" w:hAnsiTheme="majorHAnsi"/>
          <w:bCs/>
          <w:sz w:val="24"/>
          <w:szCs w:val="24"/>
        </w:rPr>
        <w:tab/>
      </w:r>
    </w:p>
    <w:p w14:paraId="29F00A16" w14:textId="77777777" w:rsidR="00AE19AE" w:rsidRPr="002112A0" w:rsidRDefault="00AE19AE" w:rsidP="00AE19AE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  <w:r w:rsidRPr="002112A0">
        <w:rPr>
          <w:rFonts w:asciiTheme="majorHAnsi" w:eastAsiaTheme="minorEastAsia" w:hAnsiTheme="majorHAnsi"/>
          <w:bCs/>
          <w:sz w:val="24"/>
          <w:szCs w:val="24"/>
        </w:rPr>
        <w:t>10.8  Social Justice</w:t>
      </w:r>
    </w:p>
    <w:p w14:paraId="78BFA762" w14:textId="77777777" w:rsidR="00AE19AE" w:rsidRPr="002112A0" w:rsidRDefault="00AE19AE" w:rsidP="00AE19AE">
      <w:pPr>
        <w:spacing w:after="0" w:line="240" w:lineRule="auto"/>
        <w:jc w:val="center"/>
        <w:rPr>
          <w:rFonts w:asciiTheme="majorHAnsi" w:eastAsiaTheme="minorEastAsia" w:hAnsiTheme="majorHAnsi"/>
          <w:bCs/>
          <w:sz w:val="24"/>
          <w:szCs w:val="24"/>
        </w:rPr>
      </w:pPr>
    </w:p>
    <w:p w14:paraId="6B85600C" w14:textId="77777777" w:rsidR="00AE19AE" w:rsidRPr="002112A0" w:rsidRDefault="00AE19AE" w:rsidP="00AE19AE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u w:val="single"/>
        </w:rPr>
      </w:pPr>
      <w:r w:rsidRPr="002112A0">
        <w:rPr>
          <w:rFonts w:asciiTheme="majorHAnsi" w:eastAsiaTheme="minorEastAsia" w:hAnsiTheme="majorHAnsi" w:cs="Times New Roman"/>
          <w:b/>
          <w:sz w:val="24"/>
          <w:szCs w:val="24"/>
        </w:rPr>
        <w:t>_________________</w:t>
      </w:r>
    </w:p>
    <w:p w14:paraId="76C29987" w14:textId="77777777" w:rsidR="00AE19AE" w:rsidRPr="002112A0" w:rsidRDefault="00AE19AE" w:rsidP="00AE19AE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u w:val="single"/>
        </w:rPr>
      </w:pPr>
    </w:p>
    <w:p w14:paraId="2288C2E9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2A0">
        <w:rPr>
          <w:rFonts w:asciiTheme="majorHAnsi" w:hAnsiTheme="majorHAnsi" w:cs="Times New Roman"/>
          <w:b/>
          <w:bCs/>
          <w:sz w:val="24"/>
          <w:szCs w:val="24"/>
        </w:rPr>
        <w:t>10.1</w:t>
      </w:r>
      <w:r w:rsidRPr="002112A0">
        <w:rPr>
          <w:rFonts w:asciiTheme="majorHAnsi" w:hAnsiTheme="majorHAnsi" w:cs="Times New Roman"/>
          <w:b/>
          <w:bCs/>
          <w:sz w:val="24"/>
          <w:szCs w:val="24"/>
        </w:rPr>
        <w:tab/>
        <w:t>Global System—United Nations</w:t>
      </w:r>
    </w:p>
    <w:p w14:paraId="73AA29A7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20CD0AB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ab/>
        <w:t>-Human Rights Treaties</w:t>
      </w:r>
    </w:p>
    <w:p w14:paraId="20AE2AA2" w14:textId="77777777" w:rsidR="00AE19AE" w:rsidRPr="00F9711D" w:rsidRDefault="00000000" w:rsidP="00AE19AE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2E74B5" w:themeColor="accent1" w:themeShade="BF"/>
          <w:sz w:val="24"/>
          <w:szCs w:val="24"/>
        </w:rPr>
      </w:pPr>
      <w:hyperlink r:id="rId7" w:history="1">
        <w:r w:rsidR="00AE19AE" w:rsidRPr="00F9711D">
          <w:rPr>
            <w:rStyle w:val="Hyperlink"/>
            <w:rFonts w:asciiTheme="majorHAnsi" w:hAnsiTheme="majorHAnsi" w:cs="Times New Roman"/>
            <w:color w:val="2E74B5" w:themeColor="accent1" w:themeShade="BF"/>
            <w:sz w:val="24"/>
            <w:szCs w:val="24"/>
          </w:rPr>
          <w:t>OHCHR | Core International Instruments</w:t>
        </w:r>
      </w:hyperlink>
    </w:p>
    <w:p w14:paraId="54A63BA7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84B555B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ab/>
        <w:t>-Human Rights Treaty Bodies</w:t>
      </w:r>
    </w:p>
    <w:p w14:paraId="4D1635CF" w14:textId="77777777" w:rsidR="00AE19AE" w:rsidRPr="00F9711D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color w:val="2E74B5" w:themeColor="accent1" w:themeShade="BF"/>
          <w:sz w:val="24"/>
          <w:szCs w:val="24"/>
        </w:rPr>
      </w:pPr>
      <w:hyperlink r:id="rId8" w:history="1">
        <w:r w:rsidR="00AE19AE" w:rsidRPr="00F9711D">
          <w:rPr>
            <w:rStyle w:val="Hyperlink"/>
            <w:rFonts w:asciiTheme="majorHAnsi" w:hAnsiTheme="majorHAnsi" w:cs="Times New Roman"/>
            <w:color w:val="2E74B5" w:themeColor="accent1" w:themeShade="BF"/>
            <w:sz w:val="24"/>
            <w:szCs w:val="24"/>
          </w:rPr>
          <w:t>OHCHR | Human Rights Treaty Bodies</w:t>
        </w:r>
      </w:hyperlink>
    </w:p>
    <w:p w14:paraId="681B376A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729C8F4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-UN High Commissioner for Human Rights</w:t>
      </w:r>
    </w:p>
    <w:p w14:paraId="190F249D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9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https://www.ohchr.org/en/about-us/high-commissioner</w:t>
        </w:r>
      </w:hyperlink>
    </w:p>
    <w:p w14:paraId="74FC6B21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2A6D7DD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-UN High Commissioner for Refugees</w:t>
      </w:r>
    </w:p>
    <w:p w14:paraId="25B3EAF7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10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https://www.unhcr.org/</w:t>
        </w:r>
      </w:hyperlink>
    </w:p>
    <w:p w14:paraId="0249C99F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3C87B9A" w14:textId="0B6AD965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-U</w:t>
      </w:r>
      <w:r w:rsidR="00F9711D">
        <w:rPr>
          <w:rFonts w:asciiTheme="majorHAnsi" w:hAnsiTheme="majorHAnsi" w:cs="Times New Roman"/>
          <w:sz w:val="24"/>
          <w:szCs w:val="24"/>
        </w:rPr>
        <w:t xml:space="preserve">N </w:t>
      </w:r>
      <w:r w:rsidRPr="002112A0">
        <w:rPr>
          <w:rFonts w:asciiTheme="majorHAnsi" w:hAnsiTheme="majorHAnsi" w:cs="Times New Roman"/>
          <w:sz w:val="24"/>
          <w:szCs w:val="24"/>
        </w:rPr>
        <w:t>Human Rights Commission</w:t>
      </w:r>
    </w:p>
    <w:p w14:paraId="1D3AAE8C" w14:textId="77777777" w:rsidR="00AE19AE" w:rsidRPr="00F9711D" w:rsidRDefault="00000000" w:rsidP="00AE19AE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2E74B5" w:themeColor="accent1" w:themeShade="BF"/>
          <w:sz w:val="24"/>
          <w:szCs w:val="24"/>
        </w:rPr>
      </w:pPr>
      <w:hyperlink r:id="rId11" w:history="1">
        <w:r w:rsidR="00AE19AE" w:rsidRPr="00F9711D">
          <w:rPr>
            <w:rStyle w:val="Hyperlink"/>
            <w:rFonts w:asciiTheme="majorHAnsi" w:hAnsiTheme="majorHAnsi" w:cs="Times New Roman"/>
            <w:color w:val="2E74B5" w:themeColor="accent1" w:themeShade="BF"/>
            <w:sz w:val="24"/>
            <w:szCs w:val="24"/>
          </w:rPr>
          <w:t>OHCHR | CHR Background information</w:t>
        </w:r>
      </w:hyperlink>
    </w:p>
    <w:p w14:paraId="6F46F50B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</w:p>
    <w:p w14:paraId="10338C14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-UN Human Rights Council</w:t>
      </w:r>
    </w:p>
    <w:p w14:paraId="24919018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hyperlink r:id="rId12" w:history="1">
        <w:r w:rsidR="00AE19AE" w:rsidRPr="002112A0">
          <w:rPr>
            <w:rStyle w:val="Hyperlink"/>
            <w:rFonts w:asciiTheme="majorHAnsi" w:hAnsiTheme="majorHAnsi"/>
            <w:sz w:val="24"/>
            <w:szCs w:val="24"/>
          </w:rPr>
          <w:t>HRC Home | OHCHR</w:t>
        </w:r>
      </w:hyperlink>
    </w:p>
    <w:p w14:paraId="7F519E5D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9355815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E81190A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9AA4E68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2A0">
        <w:rPr>
          <w:rFonts w:asciiTheme="majorHAnsi" w:hAnsiTheme="majorHAnsi" w:cs="Times New Roman"/>
          <w:b/>
          <w:bCs/>
          <w:sz w:val="24"/>
          <w:szCs w:val="24"/>
        </w:rPr>
        <w:t>10.2</w:t>
      </w:r>
      <w:r w:rsidRPr="002112A0">
        <w:rPr>
          <w:rFonts w:asciiTheme="majorHAnsi" w:hAnsiTheme="majorHAnsi" w:cs="Times New Roman"/>
          <w:b/>
          <w:bCs/>
          <w:sz w:val="24"/>
          <w:szCs w:val="24"/>
        </w:rPr>
        <w:tab/>
        <w:t xml:space="preserve">Regional Systems—Africa </w:t>
      </w:r>
    </w:p>
    <w:p w14:paraId="658EA0FA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BC295AD" w14:textId="77777777" w:rsidR="00AE19AE" w:rsidRPr="002112A0" w:rsidRDefault="00AE19AE" w:rsidP="00AE19AE">
      <w:pPr>
        <w:pStyle w:val="ListParagraph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-African Charter on Human and People’s Rights</w:t>
      </w:r>
    </w:p>
    <w:p w14:paraId="62F4D52D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13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https://au.int/sites/default/files/treaties/36390-treaty-0011_-_african_charter_on_human_and_peoples_rights_e.pdf</w:t>
        </w:r>
      </w:hyperlink>
    </w:p>
    <w:p w14:paraId="65A31C8D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D8B3B11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-African Court on Human and Peoples’ Rights</w:t>
      </w:r>
    </w:p>
    <w:p w14:paraId="2165DFF5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14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www.african-court.org</w:t>
        </w:r>
      </w:hyperlink>
    </w:p>
    <w:p w14:paraId="5C4D793E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331250E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/>
          <w:sz w:val="24"/>
          <w:szCs w:val="24"/>
        </w:rPr>
        <w:t>-</w:t>
      </w:r>
      <w:r w:rsidRPr="002112A0">
        <w:rPr>
          <w:rFonts w:asciiTheme="majorHAnsi" w:hAnsiTheme="majorHAnsi" w:cs="Times New Roman"/>
          <w:sz w:val="24"/>
          <w:szCs w:val="24"/>
        </w:rPr>
        <w:t xml:space="preserve">African Human Rights System Research Guide </w:t>
      </w:r>
    </w:p>
    <w:p w14:paraId="2F674249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color w:val="2E74B5" w:themeColor="accent1" w:themeShade="BF"/>
          <w:sz w:val="24"/>
          <w:szCs w:val="24"/>
          <w:u w:val="single"/>
        </w:rPr>
      </w:pPr>
      <w:hyperlink r:id="rId15" w:anchor=":~:text=The%20central%20human%20rights%20treaty%20in%20the%20African,1986%20sources%3A%201520%20U.N.T.S.%20217%3B%2021%20I.L.M.%2058" w:history="1">
        <w:r w:rsidR="00AE19AE" w:rsidRPr="002112A0">
          <w:rPr>
            <w:rStyle w:val="Hyperlink"/>
            <w:rFonts w:asciiTheme="majorHAnsi" w:hAnsiTheme="majorHAnsi" w:cs="Times New Roman"/>
            <w:color w:val="2E74B5" w:themeColor="accent1" w:themeShade="BF"/>
            <w:sz w:val="24"/>
            <w:szCs w:val="24"/>
          </w:rPr>
          <w:t>African Human Rights System - Research Guides (columbia.edu)</w:t>
        </w:r>
      </w:hyperlink>
    </w:p>
    <w:p w14:paraId="2766A6D7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81B420D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-African Union</w:t>
      </w:r>
    </w:p>
    <w:p w14:paraId="38C1AC30" w14:textId="77777777" w:rsidR="00AE19AE" w:rsidRPr="002112A0" w:rsidRDefault="00000000" w:rsidP="00AE19AE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2E74B5" w:themeColor="accent1" w:themeShade="BF"/>
          <w:sz w:val="24"/>
          <w:szCs w:val="24"/>
        </w:rPr>
      </w:pPr>
      <w:hyperlink r:id="rId16" w:history="1">
        <w:r w:rsidR="00AE19AE" w:rsidRPr="002112A0">
          <w:rPr>
            <w:rStyle w:val="Hyperlink"/>
            <w:rFonts w:asciiTheme="majorHAnsi" w:hAnsiTheme="majorHAnsi" w:cs="Times New Roman"/>
            <w:color w:val="2E74B5" w:themeColor="accent1" w:themeShade="BF"/>
            <w:sz w:val="24"/>
            <w:szCs w:val="24"/>
          </w:rPr>
          <w:t>Home | African Union (au.int)</w:t>
        </w:r>
      </w:hyperlink>
    </w:p>
    <w:p w14:paraId="78F78181" w14:textId="77777777" w:rsidR="00AE19AE" w:rsidRPr="002112A0" w:rsidRDefault="00AE19AE" w:rsidP="00AE19AE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2E74B5" w:themeColor="accent1" w:themeShade="BF"/>
          <w:sz w:val="24"/>
          <w:szCs w:val="24"/>
        </w:rPr>
      </w:pPr>
    </w:p>
    <w:p w14:paraId="4A302A6C" w14:textId="77777777" w:rsidR="00AE19AE" w:rsidRPr="002112A0" w:rsidRDefault="00AE19AE" w:rsidP="00AE19AE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auto"/>
          <w:sz w:val="24"/>
          <w:szCs w:val="24"/>
          <w:u w:val="none"/>
        </w:rPr>
      </w:pPr>
      <w:r w:rsidRPr="002112A0">
        <w:rPr>
          <w:rStyle w:val="Hyperlink"/>
          <w:rFonts w:asciiTheme="majorHAnsi" w:hAnsiTheme="majorHAnsi" w:cs="Times New Roman"/>
          <w:color w:val="auto"/>
          <w:sz w:val="24"/>
          <w:szCs w:val="24"/>
          <w:u w:val="none"/>
        </w:rPr>
        <w:tab/>
        <w:t>-Organization of African Unity (Historical Description)</w:t>
      </w:r>
    </w:p>
    <w:p w14:paraId="34D8551D" w14:textId="77777777" w:rsidR="00AE19AE" w:rsidRPr="002112A0" w:rsidRDefault="00000000" w:rsidP="00AE19AE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2E74B5" w:themeColor="accent1" w:themeShade="BF"/>
          <w:sz w:val="24"/>
          <w:szCs w:val="24"/>
          <w:u w:val="none"/>
        </w:rPr>
      </w:pPr>
      <w:hyperlink r:id="rId17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https://www.sahistory.org.za/article/organisation-african-unity-oau</w:t>
        </w:r>
      </w:hyperlink>
    </w:p>
    <w:p w14:paraId="6A46183E" w14:textId="77777777" w:rsidR="00AE19AE" w:rsidRPr="002112A0" w:rsidRDefault="00AE19AE" w:rsidP="00AE19AE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2E74B5" w:themeColor="accent1" w:themeShade="BF"/>
          <w:sz w:val="24"/>
          <w:szCs w:val="24"/>
          <w:u w:val="none"/>
        </w:rPr>
      </w:pPr>
    </w:p>
    <w:p w14:paraId="1E1CF325" w14:textId="77777777" w:rsidR="00AE19AE" w:rsidRPr="002112A0" w:rsidRDefault="00AE19AE" w:rsidP="00AE19AE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2E74B5" w:themeColor="accent1" w:themeShade="BF"/>
          <w:sz w:val="24"/>
          <w:szCs w:val="24"/>
        </w:rPr>
      </w:pPr>
    </w:p>
    <w:p w14:paraId="57A88624" w14:textId="77777777" w:rsidR="00AE19AE" w:rsidRPr="002112A0" w:rsidRDefault="00AE19AE" w:rsidP="00AE19AE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2E74B5" w:themeColor="accent1" w:themeShade="BF"/>
          <w:sz w:val="24"/>
          <w:szCs w:val="24"/>
        </w:rPr>
      </w:pPr>
    </w:p>
    <w:p w14:paraId="772EF9A7" w14:textId="77777777" w:rsidR="00AE19AE" w:rsidRPr="002112A0" w:rsidRDefault="00AE19AE" w:rsidP="00AE19AE">
      <w:pPr>
        <w:spacing w:after="0" w:line="240" w:lineRule="auto"/>
        <w:jc w:val="both"/>
        <w:rPr>
          <w:rStyle w:val="Hyperlink"/>
          <w:rFonts w:asciiTheme="majorHAnsi" w:hAnsiTheme="majorHAnsi" w:cs="Times New Roman"/>
          <w:b/>
          <w:bCs/>
          <w:color w:val="auto"/>
          <w:sz w:val="24"/>
          <w:szCs w:val="24"/>
          <w:u w:val="none"/>
        </w:rPr>
      </w:pPr>
      <w:r w:rsidRPr="002112A0">
        <w:rPr>
          <w:rStyle w:val="Hyperlink"/>
          <w:rFonts w:asciiTheme="majorHAnsi" w:hAnsiTheme="majorHAnsi" w:cs="Times New Roman"/>
          <w:b/>
          <w:bCs/>
          <w:color w:val="auto"/>
          <w:sz w:val="24"/>
          <w:szCs w:val="24"/>
          <w:u w:val="none"/>
        </w:rPr>
        <w:t>10.3</w:t>
      </w:r>
      <w:r w:rsidRPr="002112A0">
        <w:rPr>
          <w:rStyle w:val="Hyperlink"/>
          <w:rFonts w:asciiTheme="majorHAnsi" w:hAnsiTheme="majorHAnsi" w:cs="Times New Roman"/>
          <w:b/>
          <w:bCs/>
          <w:color w:val="auto"/>
          <w:sz w:val="24"/>
          <w:szCs w:val="24"/>
          <w:u w:val="none"/>
        </w:rPr>
        <w:tab/>
        <w:t>Regional Systems—Asia</w:t>
      </w:r>
    </w:p>
    <w:p w14:paraId="602C6F0E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3AD61CD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112A0">
        <w:rPr>
          <w:rFonts w:asciiTheme="majorHAnsi" w:hAnsiTheme="majorHAnsi"/>
          <w:sz w:val="24"/>
          <w:szCs w:val="24"/>
        </w:rPr>
        <w:tab/>
        <w:t>-Amnesty International, Asia and the Pacific Regional Overview</w:t>
      </w:r>
    </w:p>
    <w:p w14:paraId="4D8DB6A9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hyperlink r:id="rId18" w:history="1">
        <w:r w:rsidR="00AE19AE" w:rsidRPr="002112A0">
          <w:rPr>
            <w:rStyle w:val="Hyperlink"/>
            <w:rFonts w:asciiTheme="majorHAnsi" w:hAnsiTheme="majorHAnsi"/>
            <w:sz w:val="24"/>
            <w:szCs w:val="24"/>
          </w:rPr>
          <w:t>https://www.amnesty.org/en/location/asia-and-the-pacific/report-asia-and-the-pacific/</w:t>
        </w:r>
      </w:hyperlink>
    </w:p>
    <w:p w14:paraId="50A54C48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06C4CA8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-Association of Southeast Asian Nations (ASEAN) Homepage</w:t>
      </w:r>
    </w:p>
    <w:p w14:paraId="05C5B575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19" w:history="1">
        <w:r w:rsidR="00AE19AE" w:rsidRPr="002112A0">
          <w:rPr>
            <w:rStyle w:val="Hyperlink"/>
            <w:rFonts w:asciiTheme="majorHAnsi" w:hAnsiTheme="majorHAnsi"/>
            <w:sz w:val="24"/>
            <w:szCs w:val="24"/>
          </w:rPr>
          <w:t>Home - ASEAN Main Portal</w:t>
        </w:r>
      </w:hyperlink>
    </w:p>
    <w:p w14:paraId="0CCEF6B0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</w:p>
    <w:p w14:paraId="7ADA85B7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-ASEAN Membership</w:t>
      </w:r>
    </w:p>
    <w:p w14:paraId="2C48BE22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color w:val="2E74B5" w:themeColor="accent1" w:themeShade="BF"/>
          <w:sz w:val="24"/>
          <w:szCs w:val="24"/>
        </w:rPr>
      </w:pPr>
      <w:hyperlink r:id="rId20" w:history="1">
        <w:r w:rsidR="00AE19AE" w:rsidRPr="002112A0">
          <w:rPr>
            <w:rStyle w:val="Hyperlink"/>
            <w:rFonts w:asciiTheme="majorHAnsi" w:hAnsiTheme="majorHAnsi" w:cs="Times New Roman"/>
            <w:color w:val="2E74B5" w:themeColor="accent1" w:themeShade="BF"/>
            <w:sz w:val="24"/>
            <w:szCs w:val="24"/>
          </w:rPr>
          <w:t>ASEAN Member States - ASEAN | ONE VISION ONE IDENTITY ONE COMMUNITY</w:t>
        </w:r>
      </w:hyperlink>
    </w:p>
    <w:p w14:paraId="7DB2F38B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536097D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ab/>
        <w:t>-Article, The Emerging Asian Pacific Court of Human Rights</w:t>
      </w:r>
    </w:p>
    <w:p w14:paraId="1516F321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hyperlink r:id="rId21" w:anchor=":~:text=This%20Court%20%E2%80%9Cshall%20have%20jurisdiction,wastes%2C%20illicit%20exploitation%20of%20natural" w:history="1">
        <w:r w:rsidR="00AE19AE" w:rsidRPr="002112A0">
          <w:rPr>
            <w:rStyle w:val="Hyperlink"/>
            <w:rFonts w:asciiTheme="majorHAnsi" w:hAnsiTheme="majorHAnsi"/>
            <w:sz w:val="24"/>
            <w:szCs w:val="24"/>
          </w:rPr>
          <w:t>https://harvardilj.org/2016/07/the-emerging-asian-pacific-court-of-human-rights-in-the-context-of-state-and-non-state-liability/#:~:text=This%20Court%20%E2%80%9Cshall%20have%20jurisdiction,wastes%2C%20illicit%20exploitation%20of%20natural</w:t>
        </w:r>
      </w:hyperlink>
    </w:p>
    <w:p w14:paraId="2C79EFFD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CF87CD3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43D9822B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0A638B75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2A0">
        <w:rPr>
          <w:rFonts w:asciiTheme="majorHAnsi" w:hAnsiTheme="majorHAnsi" w:cs="Times New Roman"/>
          <w:b/>
          <w:bCs/>
          <w:sz w:val="24"/>
          <w:szCs w:val="24"/>
        </w:rPr>
        <w:t>10.4</w:t>
      </w:r>
      <w:r w:rsidRPr="002112A0">
        <w:rPr>
          <w:rFonts w:asciiTheme="majorHAnsi" w:hAnsiTheme="majorHAnsi" w:cs="Times New Roman"/>
          <w:b/>
          <w:bCs/>
          <w:sz w:val="24"/>
          <w:szCs w:val="24"/>
        </w:rPr>
        <w:tab/>
        <w:t>Regional Systems—Europe</w:t>
      </w:r>
    </w:p>
    <w:p w14:paraId="27E9C732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E8B8BC6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ab/>
        <w:t>-European Convention for the Protection of Human Rights and Fundamental Freedoms</w:t>
      </w:r>
    </w:p>
    <w:p w14:paraId="5A7E1720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22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https://www.echr.coe.int/documents/d/echr/convention_eng</w:t>
        </w:r>
      </w:hyperlink>
    </w:p>
    <w:p w14:paraId="324A0B8E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DAA13C3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-European Court of Human Rights (ECHR) Homepage</w:t>
      </w:r>
    </w:p>
    <w:p w14:paraId="60C4FD20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23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https://www.echr.coe.int/</w:t>
        </w:r>
      </w:hyperlink>
    </w:p>
    <w:p w14:paraId="002F93F0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C4B1376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-ECHR Admissibility Criteria</w:t>
      </w:r>
    </w:p>
    <w:p w14:paraId="27367554" w14:textId="77777777" w:rsidR="00AE19AE" w:rsidRPr="002112A0" w:rsidRDefault="00000000" w:rsidP="00AE19AE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2E74B5" w:themeColor="accent1" w:themeShade="BF"/>
          <w:sz w:val="24"/>
          <w:szCs w:val="24"/>
          <w:u w:val="none"/>
        </w:rPr>
      </w:pPr>
      <w:hyperlink r:id="rId24" w:history="1">
        <w:r w:rsidR="00AE19AE" w:rsidRPr="002112A0">
          <w:rPr>
            <w:rStyle w:val="Hyperlink"/>
            <w:rFonts w:asciiTheme="majorHAnsi" w:hAnsiTheme="majorHAnsi" w:cs="Times New Roman"/>
            <w:color w:val="2E74B5" w:themeColor="accent1" w:themeShade="BF"/>
            <w:sz w:val="24"/>
            <w:szCs w:val="24"/>
            <w:u w:val="none"/>
          </w:rPr>
          <w:t>https://www.echr.coe.int/Documents/Admissibility_guide_ENG.pdf</w:t>
        </w:r>
      </w:hyperlink>
    </w:p>
    <w:p w14:paraId="6F3FE91C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1DECFF6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ab/>
        <w:t>-ECHR Flowchart on Case Processing</w:t>
      </w:r>
    </w:p>
    <w:p w14:paraId="5BDCBC59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color w:val="2E74B5" w:themeColor="accent1" w:themeShade="BF"/>
          <w:sz w:val="24"/>
          <w:szCs w:val="24"/>
        </w:rPr>
      </w:pPr>
      <w:hyperlink r:id="rId25" w:history="1">
        <w:r w:rsidR="00AE19AE" w:rsidRPr="002112A0">
          <w:rPr>
            <w:rStyle w:val="Hyperlink"/>
            <w:rFonts w:asciiTheme="majorHAnsi" w:hAnsiTheme="majorHAnsi" w:cs="Times New Roman"/>
            <w:color w:val="2E74B5" w:themeColor="accent1" w:themeShade="BF"/>
            <w:sz w:val="24"/>
            <w:szCs w:val="24"/>
            <w:u w:val="none"/>
          </w:rPr>
          <w:t>Case-processing: The life of an application (coe.int)</w:t>
        </w:r>
      </w:hyperlink>
    </w:p>
    <w:p w14:paraId="3E329413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5678368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-European Union Homepage</w:t>
      </w:r>
    </w:p>
    <w:p w14:paraId="5F28F2D6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26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https://european-union.europa.eu/index_en</w:t>
        </w:r>
      </w:hyperlink>
    </w:p>
    <w:p w14:paraId="40F8F593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</w:p>
    <w:p w14:paraId="29F1EF95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-Organization for Security and Cooperation in Europe (OSCE) Homepage</w:t>
      </w:r>
    </w:p>
    <w:p w14:paraId="4180DF2D" w14:textId="77777777" w:rsidR="00AE19AE" w:rsidRPr="002112A0" w:rsidRDefault="00000000" w:rsidP="00AE19AE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2E74B5" w:themeColor="accent1" w:themeShade="BF"/>
          <w:sz w:val="24"/>
          <w:szCs w:val="24"/>
        </w:rPr>
      </w:pPr>
      <w:hyperlink r:id="rId27" w:history="1">
        <w:r w:rsidR="00AE19AE" w:rsidRPr="002112A0">
          <w:rPr>
            <w:rStyle w:val="Hyperlink"/>
            <w:rFonts w:asciiTheme="majorHAnsi" w:hAnsiTheme="majorHAnsi" w:cs="Times New Roman"/>
            <w:color w:val="2E74B5" w:themeColor="accent1" w:themeShade="BF"/>
            <w:sz w:val="24"/>
            <w:szCs w:val="24"/>
          </w:rPr>
          <w:t>Who we are | OSCE</w:t>
        </w:r>
      </w:hyperlink>
    </w:p>
    <w:p w14:paraId="07FE9618" w14:textId="77777777" w:rsidR="00AE19AE" w:rsidRPr="002112A0" w:rsidRDefault="00AE19AE" w:rsidP="00AE19AE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auto"/>
          <w:sz w:val="24"/>
          <w:szCs w:val="24"/>
        </w:rPr>
      </w:pPr>
    </w:p>
    <w:p w14:paraId="4CD0DAE7" w14:textId="77777777" w:rsidR="00AE19AE" w:rsidRPr="002112A0" w:rsidRDefault="00AE19AE" w:rsidP="00AE19AE">
      <w:pPr>
        <w:spacing w:after="0" w:line="240" w:lineRule="auto"/>
        <w:jc w:val="both"/>
        <w:rPr>
          <w:rStyle w:val="Hyperlink"/>
          <w:rFonts w:asciiTheme="majorHAnsi" w:hAnsiTheme="majorHAnsi" w:cs="Times New Roman"/>
          <w:color w:val="auto"/>
          <w:sz w:val="24"/>
          <w:szCs w:val="24"/>
          <w:u w:val="none"/>
        </w:rPr>
      </w:pPr>
      <w:r w:rsidRPr="002112A0">
        <w:rPr>
          <w:rStyle w:val="Hyperlink"/>
          <w:rFonts w:asciiTheme="majorHAnsi" w:hAnsiTheme="majorHAnsi" w:cs="Times New Roman"/>
          <w:color w:val="auto"/>
          <w:sz w:val="24"/>
          <w:szCs w:val="24"/>
          <w:u w:val="none"/>
        </w:rPr>
        <w:lastRenderedPageBreak/>
        <w:tab/>
        <w:t>-The Council of Europe Homepage</w:t>
      </w:r>
    </w:p>
    <w:p w14:paraId="036AB500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28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https://www.coe.int/en/web/portal</w:t>
        </w:r>
      </w:hyperlink>
    </w:p>
    <w:p w14:paraId="2FAE75C0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2E81BCB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D7F1ACE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0034256F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2A0">
        <w:rPr>
          <w:rFonts w:asciiTheme="majorHAnsi" w:hAnsiTheme="majorHAnsi" w:cs="Times New Roman"/>
          <w:b/>
          <w:bCs/>
          <w:sz w:val="24"/>
          <w:szCs w:val="24"/>
        </w:rPr>
        <w:t>10.5</w:t>
      </w:r>
      <w:r w:rsidRPr="002112A0">
        <w:rPr>
          <w:rFonts w:asciiTheme="majorHAnsi" w:hAnsiTheme="majorHAnsi" w:cs="Times New Roman"/>
          <w:b/>
          <w:bCs/>
          <w:sz w:val="24"/>
          <w:szCs w:val="24"/>
        </w:rPr>
        <w:tab/>
        <w:t>Regional Systems—Islamic States</w:t>
      </w:r>
    </w:p>
    <w:p w14:paraId="6B8CC992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131DD35D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ab/>
        <w:t>-Arab Charter on Human Rights (English translation)</w:t>
      </w:r>
    </w:p>
    <w:p w14:paraId="7A42593E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29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http://hrlibrary.umn.edu/instree/loas2005.html</w:t>
        </w:r>
      </w:hyperlink>
    </w:p>
    <w:p w14:paraId="5E66A425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2B40CC4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ab/>
        <w:t>-Arab Human Rights Committee</w:t>
      </w:r>
    </w:p>
    <w:p w14:paraId="705A6F33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30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http://www.lasportal.org/ar/legalnetwork/Pages/agreements_details.aspx?RID=69</w:t>
        </w:r>
      </w:hyperlink>
    </w:p>
    <w:p w14:paraId="5868F9FA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E4ACECD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ab/>
        <w:t>-Cairo Declaration on Human Rights in Islam (English translation)</w:t>
      </w:r>
    </w:p>
    <w:p w14:paraId="26EC664A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hyperlink r:id="rId31" w:history="1">
        <w:r w:rsidR="00AE19AE" w:rsidRPr="002112A0">
          <w:rPr>
            <w:rStyle w:val="Hyperlink"/>
            <w:rFonts w:asciiTheme="majorHAnsi" w:hAnsiTheme="majorHAnsi"/>
            <w:sz w:val="24"/>
            <w:szCs w:val="24"/>
          </w:rPr>
          <w:t>University of Minnesota Human Rights Library (umn.edu)</w:t>
        </w:r>
      </w:hyperlink>
    </w:p>
    <w:p w14:paraId="561CFA3A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0B858A4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ab/>
        <w:t xml:space="preserve">-Independent Permanent Human Rights Commission </w:t>
      </w:r>
    </w:p>
    <w:p w14:paraId="2B2D4FB1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32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http://www.oic-iphrc.org/home/post/1</w:t>
        </w:r>
      </w:hyperlink>
    </w:p>
    <w:p w14:paraId="0456F10D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66A3899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ab/>
        <w:t>-Islamic Human Rights Commission</w:t>
      </w:r>
    </w:p>
    <w:p w14:paraId="0409F3E4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33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https://www.ihrc.org.uk/ihrc-at-un/</w:t>
        </w:r>
      </w:hyperlink>
    </w:p>
    <w:p w14:paraId="0CDE2F0C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2BFA232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ab/>
        <w:t>-League of Arab States Homepage</w:t>
      </w:r>
    </w:p>
    <w:p w14:paraId="4CBE32E7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34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http://www.lasportal.org/ar/legalnetwork/Pages/agreements_details.aspx?RID=69</w:t>
        </w:r>
      </w:hyperlink>
    </w:p>
    <w:p w14:paraId="37B3A07C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120835A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ab/>
        <w:t>-</w:t>
      </w:r>
      <w:proofErr w:type="spellStart"/>
      <w:r w:rsidRPr="002112A0">
        <w:rPr>
          <w:rFonts w:asciiTheme="majorHAnsi" w:hAnsiTheme="majorHAnsi" w:cs="Times New Roman"/>
          <w:sz w:val="24"/>
          <w:szCs w:val="24"/>
        </w:rPr>
        <w:t>Organisation</w:t>
      </w:r>
      <w:proofErr w:type="spellEnd"/>
      <w:r w:rsidRPr="002112A0">
        <w:rPr>
          <w:rFonts w:asciiTheme="majorHAnsi" w:hAnsiTheme="majorHAnsi" w:cs="Times New Roman"/>
          <w:sz w:val="24"/>
          <w:szCs w:val="24"/>
        </w:rPr>
        <w:t xml:space="preserve"> of Islamic Cooperation</w:t>
      </w:r>
    </w:p>
    <w:p w14:paraId="575BC00D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35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https://www.oic-oci.org/home/?lan=en</w:t>
        </w:r>
      </w:hyperlink>
    </w:p>
    <w:p w14:paraId="75E3A0F1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38A22A46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403C887C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6D4CDAB4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2A0">
        <w:rPr>
          <w:rFonts w:asciiTheme="majorHAnsi" w:hAnsiTheme="majorHAnsi" w:cs="Times New Roman"/>
          <w:b/>
          <w:bCs/>
          <w:sz w:val="24"/>
          <w:szCs w:val="24"/>
        </w:rPr>
        <w:t>10.6</w:t>
      </w:r>
      <w:r w:rsidRPr="002112A0">
        <w:rPr>
          <w:rFonts w:asciiTheme="majorHAnsi" w:hAnsiTheme="majorHAnsi" w:cs="Times New Roman"/>
          <w:b/>
          <w:bCs/>
          <w:sz w:val="24"/>
          <w:szCs w:val="24"/>
        </w:rPr>
        <w:tab/>
        <w:t>Regional Systems—The Americas</w:t>
      </w:r>
    </w:p>
    <w:p w14:paraId="386F2D8B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C32F49B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ab/>
        <w:t>-American Convention on Human Rights</w:t>
      </w:r>
    </w:p>
    <w:p w14:paraId="69DEA03E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36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http://www.oas.org/dil/treaties_B-32_American_Convention_on_Human_Rights.htm</w:t>
        </w:r>
      </w:hyperlink>
    </w:p>
    <w:p w14:paraId="1CB664BC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C433D97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ab/>
        <w:t>-American Declaration of the Rights and Duties of Man</w:t>
      </w:r>
    </w:p>
    <w:p w14:paraId="5A9E93A9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37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https://www.cidh.oas.org/basicos/english/basic2.american%20declaration.htm</w:t>
        </w:r>
      </w:hyperlink>
    </w:p>
    <w:p w14:paraId="10939104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82EF909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-Charter of the Organization of American States (OAS)</w:t>
      </w:r>
    </w:p>
    <w:p w14:paraId="0D1472B0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38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https://www.oas.org/en/sla/dil/inter_american_treaties_A-41_charter_OAS.asp</w:t>
        </w:r>
      </w:hyperlink>
    </w:p>
    <w:p w14:paraId="6480880D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</w:p>
    <w:p w14:paraId="31F04AD1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-Inter-American Commission on Human Rights Homepage</w:t>
      </w:r>
    </w:p>
    <w:p w14:paraId="6A730393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39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https://www.oas.org/en/iachr/</w:t>
        </w:r>
      </w:hyperlink>
    </w:p>
    <w:p w14:paraId="595CFB76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F27CEA2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-Inter-American Commission on Human Rights Petitions and Case System</w:t>
      </w:r>
    </w:p>
    <w:p w14:paraId="152F04DB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40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https://www.oas.org/en/iachr/docs/pdf/HowTo.pdf</w:t>
        </w:r>
      </w:hyperlink>
    </w:p>
    <w:p w14:paraId="47D9FD88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0E0182F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ab/>
        <w:t>-Inter-American Court of Human Rights Homepage</w:t>
      </w:r>
    </w:p>
    <w:p w14:paraId="000C8B62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41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https://www.corteidh.or.cr/index.cfm?lang=en</w:t>
        </w:r>
      </w:hyperlink>
    </w:p>
    <w:p w14:paraId="7C4BECF0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7CDB831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ab/>
        <w:t>-Library Guide, Research for Human Rights in the Americas</w:t>
      </w:r>
    </w:p>
    <w:p w14:paraId="7A1FDA6F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42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https://libguides.law.umich.edu/c.php?g=38129&amp;p=6423870</w:t>
        </w:r>
      </w:hyperlink>
    </w:p>
    <w:p w14:paraId="330BBBBA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42D9B85" w14:textId="77777777" w:rsidR="00AE19AE" w:rsidRPr="002112A0" w:rsidRDefault="00AE19AE" w:rsidP="00AE19AE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z w:val="24"/>
          <w:szCs w:val="24"/>
        </w:rPr>
        <w:t>-OAS Homepage</w:t>
      </w:r>
    </w:p>
    <w:p w14:paraId="44B42C0F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43" w:history="1">
        <w:r w:rsidR="00AE19AE" w:rsidRPr="002112A0">
          <w:rPr>
            <w:rStyle w:val="Hyperlink"/>
            <w:rFonts w:asciiTheme="majorHAnsi" w:hAnsiTheme="majorHAnsi" w:cs="Times New Roman"/>
            <w:sz w:val="24"/>
            <w:szCs w:val="24"/>
          </w:rPr>
          <w:t>https://www.oas.org/en/</w:t>
        </w:r>
      </w:hyperlink>
    </w:p>
    <w:p w14:paraId="4F0B271F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9E8AAC6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DEC57F3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EF70662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2A0">
        <w:rPr>
          <w:rFonts w:asciiTheme="majorHAnsi" w:hAnsiTheme="majorHAnsi" w:cs="Times New Roman"/>
          <w:b/>
          <w:bCs/>
          <w:sz w:val="24"/>
          <w:szCs w:val="24"/>
        </w:rPr>
        <w:t>10.7</w:t>
      </w:r>
      <w:r w:rsidRPr="002112A0">
        <w:rPr>
          <w:rFonts w:asciiTheme="majorHAnsi" w:hAnsiTheme="majorHAnsi" w:cs="Times New Roman"/>
          <w:b/>
          <w:bCs/>
          <w:sz w:val="24"/>
          <w:szCs w:val="24"/>
        </w:rPr>
        <w:tab/>
        <w:t>Secession/External Self Determination</w:t>
      </w:r>
    </w:p>
    <w:p w14:paraId="05BC8FE2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DE88002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112A0">
        <w:rPr>
          <w:rFonts w:asciiTheme="majorHAnsi" w:hAnsiTheme="majorHAnsi"/>
          <w:sz w:val="24"/>
          <w:szCs w:val="24"/>
        </w:rPr>
        <w:tab/>
        <w:t>-Article</w:t>
      </w:r>
    </w:p>
    <w:p w14:paraId="4B839B53" w14:textId="77777777" w:rsidR="00AE19AE" w:rsidRPr="002112A0" w:rsidRDefault="00000000" w:rsidP="00AE19AE">
      <w:pPr>
        <w:spacing w:after="0" w:line="240" w:lineRule="auto"/>
        <w:jc w:val="both"/>
        <w:rPr>
          <w:rFonts w:asciiTheme="majorHAnsi" w:hAnsiTheme="majorHAnsi" w:cs="Times New Roman"/>
          <w:color w:val="2E74B5" w:themeColor="accent1" w:themeShade="BF"/>
          <w:sz w:val="24"/>
          <w:szCs w:val="24"/>
        </w:rPr>
      </w:pPr>
      <w:hyperlink r:id="rId44" w:anchor="_ftnref41" w:history="1">
        <w:r w:rsidR="00AE19AE" w:rsidRPr="002112A0">
          <w:rPr>
            <w:rStyle w:val="Hyperlink"/>
            <w:rFonts w:asciiTheme="majorHAnsi" w:hAnsiTheme="majorHAnsi" w:cs="Times New Roman"/>
            <w:color w:val="2E74B5" w:themeColor="accent1" w:themeShade="BF"/>
            <w:sz w:val="24"/>
            <w:szCs w:val="24"/>
          </w:rPr>
          <w:t>Is There a Right to Secession in International Law? (e-ir.info)</w:t>
        </w:r>
      </w:hyperlink>
    </w:p>
    <w:p w14:paraId="12EAADC0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018561F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0ACC604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F3570BB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2A0">
        <w:rPr>
          <w:rFonts w:asciiTheme="majorHAnsi" w:hAnsiTheme="majorHAnsi" w:cs="Times New Roman"/>
          <w:b/>
          <w:bCs/>
          <w:sz w:val="24"/>
          <w:szCs w:val="24"/>
        </w:rPr>
        <w:t>10.8</w:t>
      </w:r>
      <w:r w:rsidRPr="002112A0">
        <w:rPr>
          <w:rFonts w:asciiTheme="majorHAnsi" w:hAnsiTheme="majorHAnsi" w:cs="Times New Roman"/>
          <w:b/>
          <w:bCs/>
          <w:sz w:val="24"/>
          <w:szCs w:val="24"/>
        </w:rPr>
        <w:tab/>
        <w:t xml:space="preserve">Social Justice </w:t>
      </w:r>
    </w:p>
    <w:p w14:paraId="10327148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A30853C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112A0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The Color of Justice: Transitional Justice &amp; the Legacy of Slavery &amp; Racism in the United States </w:t>
      </w:r>
      <w:r w:rsidRPr="002112A0">
        <w:rPr>
          <w:rFonts w:asciiTheme="majorHAnsi" w:eastAsia="Times New Roman" w:hAnsiTheme="majorHAnsi" w:cs="Times New Roman"/>
          <w:sz w:val="24"/>
          <w:szCs w:val="24"/>
        </w:rPr>
        <w:t xml:space="preserve">(International Center for Transitional Justice 2021), available at </w:t>
      </w:r>
      <w:hyperlink r:id="rId45" w:history="1">
        <w:r w:rsidRPr="002112A0">
          <w:rPr>
            <w:rStyle w:val="Hyperlink"/>
            <w:rFonts w:asciiTheme="majorHAnsi" w:eastAsia="Times New Roman" w:hAnsiTheme="majorHAnsi" w:cs="Times New Roman"/>
            <w:sz w:val="24"/>
            <w:szCs w:val="24"/>
          </w:rPr>
          <w:t>https://www.ictj.org/publication/color-justice-transitional-justice-and-legacy-slavery-and-racism-united-states</w:t>
        </w:r>
      </w:hyperlink>
      <w:r w:rsidRPr="002112A0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327443D6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2A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315B3818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mallCaps/>
          <w:sz w:val="24"/>
          <w:szCs w:val="24"/>
        </w:rPr>
      </w:pPr>
      <w:r w:rsidRPr="002112A0">
        <w:rPr>
          <w:rFonts w:asciiTheme="majorHAnsi" w:hAnsiTheme="majorHAnsi" w:cs="Times New Roman"/>
          <w:smallCaps/>
          <w:sz w:val="24"/>
          <w:szCs w:val="24"/>
        </w:rPr>
        <w:t xml:space="preserve">William F. Schultz, In Our Own Best Interest: How Defending Human Rights </w:t>
      </w:r>
    </w:p>
    <w:p w14:paraId="1383B1E9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12A0">
        <w:rPr>
          <w:rFonts w:asciiTheme="majorHAnsi" w:hAnsiTheme="majorHAnsi" w:cs="Times New Roman"/>
          <w:smallCaps/>
          <w:sz w:val="24"/>
          <w:szCs w:val="24"/>
        </w:rPr>
        <w:t>Benefits Us All</w:t>
      </w:r>
      <w:r w:rsidRPr="002112A0">
        <w:rPr>
          <w:rFonts w:asciiTheme="majorHAnsi" w:hAnsiTheme="majorHAnsi" w:cs="Times New Roman"/>
          <w:sz w:val="24"/>
          <w:szCs w:val="24"/>
        </w:rPr>
        <w:t xml:space="preserve"> (Beacon Press 2002).</w:t>
      </w:r>
    </w:p>
    <w:p w14:paraId="3E4CEC2B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</w:rPr>
      </w:pPr>
    </w:p>
    <w:p w14:paraId="280D1420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18C9D5B0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12176E0C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27E5832D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2AE60D65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569CB06F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54297CDF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56A85C17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13E1B979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559505A3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1061E46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2C43805" w14:textId="77777777" w:rsidR="00AE19AE" w:rsidRPr="002112A0" w:rsidRDefault="00AE19AE" w:rsidP="00AE19A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45C5911" w14:textId="1F91C815" w:rsidR="00F00835" w:rsidRPr="00827F2A" w:rsidRDefault="00F00835" w:rsidP="00827F2A">
      <w:pPr>
        <w:spacing w:after="0" w:line="240" w:lineRule="auto"/>
        <w:rPr>
          <w:rStyle w:val="Hyperlink"/>
          <w:rFonts w:asciiTheme="majorHAnsi" w:hAnsiTheme="majorHAnsi" w:cs="Times New Roman"/>
          <w:b/>
          <w:bCs/>
          <w:color w:val="auto"/>
          <w:sz w:val="24"/>
          <w:szCs w:val="24"/>
        </w:rPr>
      </w:pPr>
    </w:p>
    <w:sectPr w:rsidR="00F00835" w:rsidRPr="00827F2A"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2819" w14:textId="77777777" w:rsidR="001808B5" w:rsidRDefault="001808B5" w:rsidP="00A24EE4">
      <w:pPr>
        <w:spacing w:after="0" w:line="240" w:lineRule="auto"/>
      </w:pPr>
      <w:r>
        <w:separator/>
      </w:r>
    </w:p>
  </w:endnote>
  <w:endnote w:type="continuationSeparator" w:id="0">
    <w:p w14:paraId="43032A74" w14:textId="77777777" w:rsidR="001808B5" w:rsidRDefault="001808B5" w:rsidP="00A2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256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26275" w14:textId="56F05BD6" w:rsidR="00E34203" w:rsidRDefault="00E342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8DE6C9" w14:textId="77777777" w:rsidR="00E34203" w:rsidRDefault="00E34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05B9" w14:textId="77777777" w:rsidR="001808B5" w:rsidRDefault="001808B5" w:rsidP="00A24EE4">
      <w:pPr>
        <w:spacing w:after="0" w:line="240" w:lineRule="auto"/>
      </w:pPr>
      <w:r>
        <w:separator/>
      </w:r>
    </w:p>
  </w:footnote>
  <w:footnote w:type="continuationSeparator" w:id="0">
    <w:p w14:paraId="48BC8B61" w14:textId="77777777" w:rsidR="001808B5" w:rsidRDefault="001808B5" w:rsidP="00A24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93"/>
    <w:multiLevelType w:val="hybridMultilevel"/>
    <w:tmpl w:val="19E02082"/>
    <w:lvl w:ilvl="0" w:tplc="A2761B78">
      <w:start w:val="1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C56F4"/>
    <w:multiLevelType w:val="hybridMultilevel"/>
    <w:tmpl w:val="20E082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2580B"/>
    <w:multiLevelType w:val="hybridMultilevel"/>
    <w:tmpl w:val="6A8E6A70"/>
    <w:lvl w:ilvl="0" w:tplc="919239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9F14B1"/>
    <w:multiLevelType w:val="hybridMultilevel"/>
    <w:tmpl w:val="C4EC21D8"/>
    <w:lvl w:ilvl="0" w:tplc="86668B26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E71C2"/>
    <w:multiLevelType w:val="hybridMultilevel"/>
    <w:tmpl w:val="8D161C70"/>
    <w:lvl w:ilvl="0" w:tplc="C2AE21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27102"/>
    <w:multiLevelType w:val="hybridMultilevel"/>
    <w:tmpl w:val="75A018F4"/>
    <w:lvl w:ilvl="0" w:tplc="9E2C768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DB4A6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3901B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F2A4EB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DC600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CA4F71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4C44D7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4CC6E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9EC8DA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1948463174">
    <w:abstractNumId w:val="1"/>
  </w:num>
  <w:num w:numId="2" w16cid:durableId="1876964907">
    <w:abstractNumId w:val="2"/>
  </w:num>
  <w:num w:numId="3" w16cid:durableId="387606497">
    <w:abstractNumId w:val="4"/>
  </w:num>
  <w:num w:numId="4" w16cid:durableId="709263350">
    <w:abstractNumId w:val="5"/>
  </w:num>
  <w:num w:numId="5" w16cid:durableId="1816675934">
    <w:abstractNumId w:val="3"/>
  </w:num>
  <w:num w:numId="6" w16cid:durableId="165159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09"/>
    <w:rsid w:val="00004547"/>
    <w:rsid w:val="000118D8"/>
    <w:rsid w:val="0001688D"/>
    <w:rsid w:val="0002168B"/>
    <w:rsid w:val="00034B47"/>
    <w:rsid w:val="000463E6"/>
    <w:rsid w:val="000638B8"/>
    <w:rsid w:val="0007135D"/>
    <w:rsid w:val="000717A4"/>
    <w:rsid w:val="00092C80"/>
    <w:rsid w:val="00094FCB"/>
    <w:rsid w:val="000963DB"/>
    <w:rsid w:val="00096F52"/>
    <w:rsid w:val="000A00EF"/>
    <w:rsid w:val="000B2126"/>
    <w:rsid w:val="000B2B13"/>
    <w:rsid w:val="000B5E3E"/>
    <w:rsid w:val="000C0C97"/>
    <w:rsid w:val="000C0D2A"/>
    <w:rsid w:val="000D4492"/>
    <w:rsid w:val="000F4F6F"/>
    <w:rsid w:val="00100DA5"/>
    <w:rsid w:val="00100E3C"/>
    <w:rsid w:val="0010281C"/>
    <w:rsid w:val="00103901"/>
    <w:rsid w:val="00107291"/>
    <w:rsid w:val="00126E44"/>
    <w:rsid w:val="00131886"/>
    <w:rsid w:val="00135663"/>
    <w:rsid w:val="001455CE"/>
    <w:rsid w:val="00156342"/>
    <w:rsid w:val="00161677"/>
    <w:rsid w:val="0016350D"/>
    <w:rsid w:val="00165644"/>
    <w:rsid w:val="001670F2"/>
    <w:rsid w:val="0017586B"/>
    <w:rsid w:val="001776F6"/>
    <w:rsid w:val="001808B5"/>
    <w:rsid w:val="0018514D"/>
    <w:rsid w:val="00185783"/>
    <w:rsid w:val="0019512F"/>
    <w:rsid w:val="001973CE"/>
    <w:rsid w:val="00197CF0"/>
    <w:rsid w:val="001A2A17"/>
    <w:rsid w:val="001A44D1"/>
    <w:rsid w:val="001B204D"/>
    <w:rsid w:val="001B2D4D"/>
    <w:rsid w:val="001B34CD"/>
    <w:rsid w:val="001C05E7"/>
    <w:rsid w:val="001C69C8"/>
    <w:rsid w:val="001D62A8"/>
    <w:rsid w:val="001E5AF5"/>
    <w:rsid w:val="0020288C"/>
    <w:rsid w:val="002065A0"/>
    <w:rsid w:val="002074EA"/>
    <w:rsid w:val="00207C0A"/>
    <w:rsid w:val="002112A0"/>
    <w:rsid w:val="00216B20"/>
    <w:rsid w:val="00217A8E"/>
    <w:rsid w:val="00226B0D"/>
    <w:rsid w:val="00235663"/>
    <w:rsid w:val="002365D8"/>
    <w:rsid w:val="00254E8B"/>
    <w:rsid w:val="002669E5"/>
    <w:rsid w:val="0027155D"/>
    <w:rsid w:val="00274DA3"/>
    <w:rsid w:val="00280766"/>
    <w:rsid w:val="00291B06"/>
    <w:rsid w:val="0029408F"/>
    <w:rsid w:val="002958E6"/>
    <w:rsid w:val="002B041F"/>
    <w:rsid w:val="002B13D6"/>
    <w:rsid w:val="002B7792"/>
    <w:rsid w:val="002D0A6F"/>
    <w:rsid w:val="002D6185"/>
    <w:rsid w:val="002F2D59"/>
    <w:rsid w:val="0030519C"/>
    <w:rsid w:val="003054E0"/>
    <w:rsid w:val="003111B3"/>
    <w:rsid w:val="00311334"/>
    <w:rsid w:val="0032113B"/>
    <w:rsid w:val="00321E6B"/>
    <w:rsid w:val="003271A0"/>
    <w:rsid w:val="00332D21"/>
    <w:rsid w:val="00332DFA"/>
    <w:rsid w:val="00334250"/>
    <w:rsid w:val="003549C7"/>
    <w:rsid w:val="0037150C"/>
    <w:rsid w:val="00372444"/>
    <w:rsid w:val="0038175F"/>
    <w:rsid w:val="00391182"/>
    <w:rsid w:val="003917AD"/>
    <w:rsid w:val="00394BD5"/>
    <w:rsid w:val="003E6197"/>
    <w:rsid w:val="003F6881"/>
    <w:rsid w:val="00411FA8"/>
    <w:rsid w:val="0041418B"/>
    <w:rsid w:val="00416896"/>
    <w:rsid w:val="00434059"/>
    <w:rsid w:val="0044118C"/>
    <w:rsid w:val="00443066"/>
    <w:rsid w:val="00465A65"/>
    <w:rsid w:val="00467CE0"/>
    <w:rsid w:val="00472B84"/>
    <w:rsid w:val="0047601B"/>
    <w:rsid w:val="00491BFC"/>
    <w:rsid w:val="004B0F6B"/>
    <w:rsid w:val="004C0DB0"/>
    <w:rsid w:val="004C1646"/>
    <w:rsid w:val="004C510A"/>
    <w:rsid w:val="004C6A51"/>
    <w:rsid w:val="004D3458"/>
    <w:rsid w:val="004E03AE"/>
    <w:rsid w:val="00510F23"/>
    <w:rsid w:val="00511F8E"/>
    <w:rsid w:val="0051656F"/>
    <w:rsid w:val="00520484"/>
    <w:rsid w:val="005204EF"/>
    <w:rsid w:val="00522B39"/>
    <w:rsid w:val="0053350F"/>
    <w:rsid w:val="00533CEA"/>
    <w:rsid w:val="00534C84"/>
    <w:rsid w:val="00534CAA"/>
    <w:rsid w:val="00554A38"/>
    <w:rsid w:val="00555A6D"/>
    <w:rsid w:val="00561DDE"/>
    <w:rsid w:val="00570813"/>
    <w:rsid w:val="00584A7E"/>
    <w:rsid w:val="0058501D"/>
    <w:rsid w:val="00596109"/>
    <w:rsid w:val="005A00C4"/>
    <w:rsid w:val="005A0FF1"/>
    <w:rsid w:val="005B328C"/>
    <w:rsid w:val="005B3BA7"/>
    <w:rsid w:val="005C1E4A"/>
    <w:rsid w:val="005D24F8"/>
    <w:rsid w:val="005E3E81"/>
    <w:rsid w:val="005F1CEB"/>
    <w:rsid w:val="005F3501"/>
    <w:rsid w:val="005F5934"/>
    <w:rsid w:val="00602191"/>
    <w:rsid w:val="00603DBF"/>
    <w:rsid w:val="0060561C"/>
    <w:rsid w:val="00622C1A"/>
    <w:rsid w:val="006256DF"/>
    <w:rsid w:val="006318AF"/>
    <w:rsid w:val="006336E8"/>
    <w:rsid w:val="00645539"/>
    <w:rsid w:val="00662CDD"/>
    <w:rsid w:val="00667027"/>
    <w:rsid w:val="00677C8C"/>
    <w:rsid w:val="00691296"/>
    <w:rsid w:val="00692BE1"/>
    <w:rsid w:val="00696F7B"/>
    <w:rsid w:val="006A1492"/>
    <w:rsid w:val="006A19DC"/>
    <w:rsid w:val="006C2AC7"/>
    <w:rsid w:val="006C7688"/>
    <w:rsid w:val="006D3F60"/>
    <w:rsid w:val="006E4355"/>
    <w:rsid w:val="006E43FB"/>
    <w:rsid w:val="006F5745"/>
    <w:rsid w:val="006F65C4"/>
    <w:rsid w:val="00705E67"/>
    <w:rsid w:val="007243D7"/>
    <w:rsid w:val="00735C5B"/>
    <w:rsid w:val="00744146"/>
    <w:rsid w:val="00746BCB"/>
    <w:rsid w:val="007555FB"/>
    <w:rsid w:val="0077359E"/>
    <w:rsid w:val="00776BC4"/>
    <w:rsid w:val="00777E36"/>
    <w:rsid w:val="00781189"/>
    <w:rsid w:val="00785B62"/>
    <w:rsid w:val="007864CF"/>
    <w:rsid w:val="0079460D"/>
    <w:rsid w:val="00796F56"/>
    <w:rsid w:val="007A4372"/>
    <w:rsid w:val="007D0F05"/>
    <w:rsid w:val="007E034C"/>
    <w:rsid w:val="007F1836"/>
    <w:rsid w:val="007F63AF"/>
    <w:rsid w:val="007F6F5E"/>
    <w:rsid w:val="00800CF3"/>
    <w:rsid w:val="0081266B"/>
    <w:rsid w:val="00812E4F"/>
    <w:rsid w:val="008134F1"/>
    <w:rsid w:val="008227E7"/>
    <w:rsid w:val="00822CAF"/>
    <w:rsid w:val="00827F2A"/>
    <w:rsid w:val="008500AD"/>
    <w:rsid w:val="00850382"/>
    <w:rsid w:val="00856A39"/>
    <w:rsid w:val="0087042D"/>
    <w:rsid w:val="00870B8B"/>
    <w:rsid w:val="008822D9"/>
    <w:rsid w:val="00884112"/>
    <w:rsid w:val="0089534D"/>
    <w:rsid w:val="008A381C"/>
    <w:rsid w:val="008A56F6"/>
    <w:rsid w:val="008A66B2"/>
    <w:rsid w:val="008B0716"/>
    <w:rsid w:val="008C6774"/>
    <w:rsid w:val="008C78D8"/>
    <w:rsid w:val="008D257F"/>
    <w:rsid w:val="008D3E05"/>
    <w:rsid w:val="008E3E8A"/>
    <w:rsid w:val="0090653C"/>
    <w:rsid w:val="00931E3D"/>
    <w:rsid w:val="009448A6"/>
    <w:rsid w:val="009524EC"/>
    <w:rsid w:val="0096122E"/>
    <w:rsid w:val="00963A31"/>
    <w:rsid w:val="00965F3D"/>
    <w:rsid w:val="0097385C"/>
    <w:rsid w:val="0098161C"/>
    <w:rsid w:val="00985725"/>
    <w:rsid w:val="00990930"/>
    <w:rsid w:val="009968BC"/>
    <w:rsid w:val="009B75D6"/>
    <w:rsid w:val="009C064A"/>
    <w:rsid w:val="009C1906"/>
    <w:rsid w:val="009D46F6"/>
    <w:rsid w:val="009E2B7E"/>
    <w:rsid w:val="009F45FB"/>
    <w:rsid w:val="009F4696"/>
    <w:rsid w:val="00A06F0D"/>
    <w:rsid w:val="00A14678"/>
    <w:rsid w:val="00A24EE4"/>
    <w:rsid w:val="00A44F42"/>
    <w:rsid w:val="00A6001B"/>
    <w:rsid w:val="00A60D9F"/>
    <w:rsid w:val="00A6198D"/>
    <w:rsid w:val="00A679CC"/>
    <w:rsid w:val="00A722EA"/>
    <w:rsid w:val="00A73C7E"/>
    <w:rsid w:val="00A76201"/>
    <w:rsid w:val="00AA1362"/>
    <w:rsid w:val="00AA3662"/>
    <w:rsid w:val="00AA703B"/>
    <w:rsid w:val="00AB474A"/>
    <w:rsid w:val="00AC6797"/>
    <w:rsid w:val="00AE19AE"/>
    <w:rsid w:val="00AE7E51"/>
    <w:rsid w:val="00AF6DE0"/>
    <w:rsid w:val="00B05D09"/>
    <w:rsid w:val="00B63CE3"/>
    <w:rsid w:val="00B65D78"/>
    <w:rsid w:val="00B66B91"/>
    <w:rsid w:val="00B822B1"/>
    <w:rsid w:val="00B97F97"/>
    <w:rsid w:val="00BA1830"/>
    <w:rsid w:val="00BB0DF8"/>
    <w:rsid w:val="00BB5E87"/>
    <w:rsid w:val="00BB77F8"/>
    <w:rsid w:val="00BC29FA"/>
    <w:rsid w:val="00BD529F"/>
    <w:rsid w:val="00BE07E0"/>
    <w:rsid w:val="00BF46C1"/>
    <w:rsid w:val="00C06009"/>
    <w:rsid w:val="00C06664"/>
    <w:rsid w:val="00C10301"/>
    <w:rsid w:val="00C2125A"/>
    <w:rsid w:val="00C2254F"/>
    <w:rsid w:val="00C26FAA"/>
    <w:rsid w:val="00C30DB8"/>
    <w:rsid w:val="00C32270"/>
    <w:rsid w:val="00C34249"/>
    <w:rsid w:val="00C433BD"/>
    <w:rsid w:val="00C47908"/>
    <w:rsid w:val="00C47C4D"/>
    <w:rsid w:val="00C551B4"/>
    <w:rsid w:val="00C61D98"/>
    <w:rsid w:val="00CA093D"/>
    <w:rsid w:val="00CA590C"/>
    <w:rsid w:val="00CA6E52"/>
    <w:rsid w:val="00CA7343"/>
    <w:rsid w:val="00CB5D1D"/>
    <w:rsid w:val="00CC24D6"/>
    <w:rsid w:val="00CC7185"/>
    <w:rsid w:val="00CD1012"/>
    <w:rsid w:val="00CD5971"/>
    <w:rsid w:val="00CD7C66"/>
    <w:rsid w:val="00CE1B0F"/>
    <w:rsid w:val="00CE5499"/>
    <w:rsid w:val="00CF6D5C"/>
    <w:rsid w:val="00D0792F"/>
    <w:rsid w:val="00D100C0"/>
    <w:rsid w:val="00D210B8"/>
    <w:rsid w:val="00D27C75"/>
    <w:rsid w:val="00D329CC"/>
    <w:rsid w:val="00D34648"/>
    <w:rsid w:val="00D47D1A"/>
    <w:rsid w:val="00D54786"/>
    <w:rsid w:val="00D552A2"/>
    <w:rsid w:val="00D56C09"/>
    <w:rsid w:val="00D6510F"/>
    <w:rsid w:val="00D72CA8"/>
    <w:rsid w:val="00D81BAD"/>
    <w:rsid w:val="00D8258A"/>
    <w:rsid w:val="00D860FF"/>
    <w:rsid w:val="00D87B76"/>
    <w:rsid w:val="00D90B15"/>
    <w:rsid w:val="00DB070B"/>
    <w:rsid w:val="00DB2517"/>
    <w:rsid w:val="00DB565D"/>
    <w:rsid w:val="00DC223A"/>
    <w:rsid w:val="00DC65C1"/>
    <w:rsid w:val="00DD62F8"/>
    <w:rsid w:val="00DE22EB"/>
    <w:rsid w:val="00DE2449"/>
    <w:rsid w:val="00DE506C"/>
    <w:rsid w:val="00DE6C1E"/>
    <w:rsid w:val="00DF1AE2"/>
    <w:rsid w:val="00E04284"/>
    <w:rsid w:val="00E07893"/>
    <w:rsid w:val="00E15D1A"/>
    <w:rsid w:val="00E168B5"/>
    <w:rsid w:val="00E21442"/>
    <w:rsid w:val="00E22F5D"/>
    <w:rsid w:val="00E273C6"/>
    <w:rsid w:val="00E27CD1"/>
    <w:rsid w:val="00E27E91"/>
    <w:rsid w:val="00E30613"/>
    <w:rsid w:val="00E33FEB"/>
    <w:rsid w:val="00E34203"/>
    <w:rsid w:val="00E36AC2"/>
    <w:rsid w:val="00E57045"/>
    <w:rsid w:val="00E610F5"/>
    <w:rsid w:val="00E63004"/>
    <w:rsid w:val="00E655A1"/>
    <w:rsid w:val="00E716CB"/>
    <w:rsid w:val="00E76059"/>
    <w:rsid w:val="00E80F0E"/>
    <w:rsid w:val="00E814B0"/>
    <w:rsid w:val="00E84AD5"/>
    <w:rsid w:val="00E85800"/>
    <w:rsid w:val="00E92606"/>
    <w:rsid w:val="00ED03C1"/>
    <w:rsid w:val="00ED105D"/>
    <w:rsid w:val="00ED7F2D"/>
    <w:rsid w:val="00EF2158"/>
    <w:rsid w:val="00EF725C"/>
    <w:rsid w:val="00F00835"/>
    <w:rsid w:val="00F01AFB"/>
    <w:rsid w:val="00F02F09"/>
    <w:rsid w:val="00F07503"/>
    <w:rsid w:val="00F16EA3"/>
    <w:rsid w:val="00F20C31"/>
    <w:rsid w:val="00F374CF"/>
    <w:rsid w:val="00F434EA"/>
    <w:rsid w:val="00F46204"/>
    <w:rsid w:val="00F535F6"/>
    <w:rsid w:val="00F66B06"/>
    <w:rsid w:val="00F67647"/>
    <w:rsid w:val="00F87E8A"/>
    <w:rsid w:val="00F92551"/>
    <w:rsid w:val="00F9711D"/>
    <w:rsid w:val="00FA57AE"/>
    <w:rsid w:val="00FB2D4D"/>
    <w:rsid w:val="00FD3D9B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C1C8"/>
  <w15:docId w15:val="{600F384A-75BD-4FF3-BE46-CF8D2ED6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52"/>
  </w:style>
  <w:style w:type="paragraph" w:styleId="Heading1">
    <w:name w:val="heading 1"/>
    <w:basedOn w:val="Normal"/>
    <w:link w:val="Heading1Char"/>
    <w:uiPriority w:val="9"/>
    <w:qFormat/>
    <w:rsid w:val="00354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8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C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1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5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49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">
    <w:name w:val="addmd"/>
    <w:basedOn w:val="DefaultParagraphFont"/>
    <w:rsid w:val="003549C7"/>
  </w:style>
  <w:style w:type="paragraph" w:styleId="BalloonText">
    <w:name w:val="Balloon Text"/>
    <w:basedOn w:val="Normal"/>
    <w:link w:val="BalloonTextChar"/>
    <w:uiPriority w:val="99"/>
    <w:semiHidden/>
    <w:unhideWhenUsed/>
    <w:rsid w:val="0032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6B"/>
    <w:rPr>
      <w:rFonts w:ascii="Segoe UI" w:hAnsi="Segoe UI" w:cs="Segoe UI"/>
      <w:sz w:val="18"/>
      <w:szCs w:val="18"/>
    </w:rPr>
  </w:style>
  <w:style w:type="character" w:customStyle="1" w:styleId="pspdfkit-8eut5gztkfn71zukw49x824t2">
    <w:name w:val="pspdfkit-8eut5gztkfn71zukw49x824t2"/>
    <w:basedOn w:val="DefaultParagraphFont"/>
    <w:rsid w:val="001455CE"/>
  </w:style>
  <w:style w:type="table" w:styleId="TableGrid">
    <w:name w:val="Table Grid"/>
    <w:basedOn w:val="TableNormal"/>
    <w:uiPriority w:val="39"/>
    <w:rsid w:val="00131886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24EE4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4EE4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24EE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8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uy-box-contributor-container">
    <w:name w:val="buy-box-contributor-container"/>
    <w:basedOn w:val="DefaultParagraphFont"/>
    <w:rsid w:val="00BA1830"/>
  </w:style>
  <w:style w:type="paragraph" w:styleId="ListParagraph">
    <w:name w:val="List Paragraph"/>
    <w:basedOn w:val="Normal"/>
    <w:uiPriority w:val="34"/>
    <w:qFormat/>
    <w:rsid w:val="00381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203"/>
  </w:style>
  <w:style w:type="paragraph" w:styleId="Footer">
    <w:name w:val="footer"/>
    <w:basedOn w:val="Normal"/>
    <w:link w:val="FooterChar"/>
    <w:uiPriority w:val="99"/>
    <w:unhideWhenUsed/>
    <w:rsid w:val="00E34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203"/>
  </w:style>
  <w:style w:type="character" w:customStyle="1" w:styleId="Heading3Char">
    <w:name w:val="Heading 3 Char"/>
    <w:basedOn w:val="DefaultParagraphFont"/>
    <w:link w:val="Heading3"/>
    <w:uiPriority w:val="9"/>
    <w:semiHidden/>
    <w:rsid w:val="007F18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7F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uuxrf">
    <w:name w:val="vuuxrf"/>
    <w:basedOn w:val="DefaultParagraphFont"/>
    <w:rsid w:val="007F1836"/>
  </w:style>
  <w:style w:type="character" w:styleId="HTMLCite">
    <w:name w:val="HTML Cite"/>
    <w:basedOn w:val="DefaultParagraphFont"/>
    <w:uiPriority w:val="99"/>
    <w:semiHidden/>
    <w:unhideWhenUsed/>
    <w:rsid w:val="007F1836"/>
    <w:rPr>
      <w:i/>
      <w:iCs/>
    </w:rPr>
  </w:style>
  <w:style w:type="character" w:customStyle="1" w:styleId="apx8vc">
    <w:name w:val="apx8vc"/>
    <w:basedOn w:val="DefaultParagraphFont"/>
    <w:rsid w:val="007F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9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HRBodies/Pages/Overview.aspx" TargetMode="External"/><Relationship Id="rId13" Type="http://schemas.openxmlformats.org/officeDocument/2006/relationships/hyperlink" Target="https://au.int/sites/default/files/treaties/36390-treaty-0011_-_african_charter_on_human_and_peoples_rights_e.pdf" TargetMode="External"/><Relationship Id="rId18" Type="http://schemas.openxmlformats.org/officeDocument/2006/relationships/hyperlink" Target="https://www.amnesty.org/en/location/asia-and-the-pacific/report-asia-and-the-pacific/" TargetMode="External"/><Relationship Id="rId26" Type="http://schemas.openxmlformats.org/officeDocument/2006/relationships/hyperlink" Target="https://european-union.europa.eu/index_en" TargetMode="External"/><Relationship Id="rId39" Type="http://schemas.openxmlformats.org/officeDocument/2006/relationships/hyperlink" Target="https://www.oas.org/en/iach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arvardilj.org/2016/07/the-emerging-asian-pacific-court-of-human-rights-in-the-context-of-state-and-non-state-liability/" TargetMode="External"/><Relationship Id="rId34" Type="http://schemas.openxmlformats.org/officeDocument/2006/relationships/hyperlink" Target="http://www.lasportal.org/ar/legalnetwork/Pages/agreements_details.aspx?RID=69" TargetMode="External"/><Relationship Id="rId42" Type="http://schemas.openxmlformats.org/officeDocument/2006/relationships/hyperlink" Target="https://libguides.law.umich.edu/c.php?g=38129&amp;p=642387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ohchr.org/EN/ProfessionalInterest/Pages/CoreInstruments.aspx" TargetMode="External"/><Relationship Id="rId12" Type="http://schemas.openxmlformats.org/officeDocument/2006/relationships/hyperlink" Target="https://www.ohchr.org/en/hrbodies/hrc/home" TargetMode="External"/><Relationship Id="rId17" Type="http://schemas.openxmlformats.org/officeDocument/2006/relationships/hyperlink" Target="https://www.sahistory.org.za/article/organisation-african-unity-oau" TargetMode="External"/><Relationship Id="rId25" Type="http://schemas.openxmlformats.org/officeDocument/2006/relationships/hyperlink" Target="https://www.echr.coe.int/Documents/Case_processing_ENG.pdf" TargetMode="External"/><Relationship Id="rId33" Type="http://schemas.openxmlformats.org/officeDocument/2006/relationships/hyperlink" Target="https://www.ihrc.org.uk/ihrc-at-un/" TargetMode="External"/><Relationship Id="rId38" Type="http://schemas.openxmlformats.org/officeDocument/2006/relationships/hyperlink" Target="https://www.oas.org/en/sla/dil/inter_american_treaties_A-41_charter_OAS.asp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au.int/" TargetMode="External"/><Relationship Id="rId20" Type="http://schemas.openxmlformats.org/officeDocument/2006/relationships/hyperlink" Target="https://asean.org/asean/asean-member-states/" TargetMode="External"/><Relationship Id="rId29" Type="http://schemas.openxmlformats.org/officeDocument/2006/relationships/hyperlink" Target="http://hrlibrary.umn.edu/instree/loas2005.html" TargetMode="External"/><Relationship Id="rId41" Type="http://schemas.openxmlformats.org/officeDocument/2006/relationships/hyperlink" Target="https://www.corteidh.or.cr/index.cfm?lang=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hchr.org/EN/HRBodies/CHR/Pages/Background.aspx" TargetMode="External"/><Relationship Id="rId24" Type="http://schemas.openxmlformats.org/officeDocument/2006/relationships/hyperlink" Target="https://www.echr.coe.int/Documents/Admissibility_guide_ENG.pdf" TargetMode="External"/><Relationship Id="rId32" Type="http://schemas.openxmlformats.org/officeDocument/2006/relationships/hyperlink" Target="http://www.oic-iphrc.org/home/post/1" TargetMode="External"/><Relationship Id="rId37" Type="http://schemas.openxmlformats.org/officeDocument/2006/relationships/hyperlink" Target="https://www.cidh.oas.org/basicos/english/basic2.american%20declaration.htm" TargetMode="External"/><Relationship Id="rId40" Type="http://schemas.openxmlformats.org/officeDocument/2006/relationships/hyperlink" Target="https://www.oas.org/en/iachr/docs/pdf/HowTo.pdf" TargetMode="External"/><Relationship Id="rId45" Type="http://schemas.openxmlformats.org/officeDocument/2006/relationships/hyperlink" Target="https://www.ictj.org/publication/color-justice-transitional-justice-and-legacy-slavery-and-racism-united-stat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rary.law.columbia.edu/guides/African_Human_Rights_System" TargetMode="External"/><Relationship Id="rId23" Type="http://schemas.openxmlformats.org/officeDocument/2006/relationships/hyperlink" Target="https://www.echr.coe.int/" TargetMode="External"/><Relationship Id="rId28" Type="http://schemas.openxmlformats.org/officeDocument/2006/relationships/hyperlink" Target="https://www.coe.int/en/web/portal" TargetMode="External"/><Relationship Id="rId36" Type="http://schemas.openxmlformats.org/officeDocument/2006/relationships/hyperlink" Target="http://www.oas.org/dil/treaties_B-32_American_Convention_on_Human_Rights.htm" TargetMode="External"/><Relationship Id="rId10" Type="http://schemas.openxmlformats.org/officeDocument/2006/relationships/hyperlink" Target="https://www.unhcr.org/" TargetMode="External"/><Relationship Id="rId19" Type="http://schemas.openxmlformats.org/officeDocument/2006/relationships/hyperlink" Target="https://asean.org/" TargetMode="External"/><Relationship Id="rId31" Type="http://schemas.openxmlformats.org/officeDocument/2006/relationships/hyperlink" Target="http://hrlibrary.umn.edu/instree/cairodeclaration.html" TargetMode="External"/><Relationship Id="rId44" Type="http://schemas.openxmlformats.org/officeDocument/2006/relationships/hyperlink" Target="https://www.e-ir.info/2020/05/18/is-there-a-right-to-secession-in-international-la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hchr.org/en/about-us/high-commissioner" TargetMode="External"/><Relationship Id="rId14" Type="http://schemas.openxmlformats.org/officeDocument/2006/relationships/hyperlink" Target="http://www.african-court.org" TargetMode="External"/><Relationship Id="rId22" Type="http://schemas.openxmlformats.org/officeDocument/2006/relationships/hyperlink" Target="https://www.echr.coe.int/documents/d/echr/convention_eng" TargetMode="External"/><Relationship Id="rId27" Type="http://schemas.openxmlformats.org/officeDocument/2006/relationships/hyperlink" Target="https://www.osce.org/who-we-are" TargetMode="External"/><Relationship Id="rId30" Type="http://schemas.openxmlformats.org/officeDocument/2006/relationships/hyperlink" Target="http://www.lasportal.org/ar/legalnetwork/Pages/agreements_details.aspx?RID=69" TargetMode="External"/><Relationship Id="rId35" Type="http://schemas.openxmlformats.org/officeDocument/2006/relationships/hyperlink" Target="https://www.oic-oci.org/home/?lan=en" TargetMode="External"/><Relationship Id="rId43" Type="http://schemas.openxmlformats.org/officeDocument/2006/relationships/hyperlink" Target="https://www.oas.org/en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</dc:creator>
  <cp:keywords/>
  <dc:description/>
  <cp:lastModifiedBy>Cara Cunningham Warren</cp:lastModifiedBy>
  <cp:revision>3</cp:revision>
  <dcterms:created xsi:type="dcterms:W3CDTF">2023-08-03T21:47:00Z</dcterms:created>
  <dcterms:modified xsi:type="dcterms:W3CDTF">2023-08-03T22:56:00Z</dcterms:modified>
</cp:coreProperties>
</file>